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3dvtnvpuj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Burnout Rate (Histogram)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histogram visualizing the distribution of employees'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 scores, helping identify the most common levels of burnout.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understand how work-life balance varies across the workforce and highlight patterns in burnout rates.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nx2pk6qe5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z35pv2b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0yo0ddut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lcibidh3u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ogu6sstej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mqe95fg9h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qr6lh95qs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f1tfht4y6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Workload vs. Burnout Level (Scatter Plot)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scatter plot that maps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Time_of_service</w:t>
      </w:r>
      <w:r w:rsidDel="00000000" w:rsidR="00000000" w:rsidRPr="00000000">
        <w:rPr>
          <w:rtl w:val="0"/>
        </w:rPr>
        <w:t xml:space="preserve"> (workload proxy)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, with color intensity representing burnout levels.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observe how the length of service correlates with work-life balance and identify high-risk groups based on tenure.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ym52378p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Burnout by Gender (Histogram)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histogram that compares burnout levels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) across different genders.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detect gender-based disparities in burnout and support targeted interventions for equality.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s5qp7qyy8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Burnout Trends by Seniority (Line Graph)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line graph plotting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Time_of_service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, with trends broken down by burnout level.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analyze how burnout changes with job seniority and pinpoint critical points for intervention.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b8crej6he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h303l6c5u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8knv4t8ir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i6n7h0cvj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3a1eow26a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vchskaa7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lrvdb25az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t2b0ousgh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wcvrfncd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ogoe9ry98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7kquiuhf0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Heatmap of Correlations (Heatmap)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heatmap visualizing the correlations between numeric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Time_of_service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uncover relationships between variables and identify key factors influencing burnout.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ghiqbxmld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Top 5 Burnout Risk Factors (Bar Chart)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bar chart highlighting the five most influential factors for predicting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, based on feature importance from the Random Forest model.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guide HR strategies by prioritizing interventions in areas with the highest burnout impact.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7t9qseyy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Burnout by Department (Bar Chart)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bar chart showing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 scores for different departments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evaluate departmental variations in burnout and target improvements where needed.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ohlp8w2lv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92oueop0z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0oibqkjnn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e7xy85x87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zznmmsoz4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oh25wmt7p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zxmtx5v9n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20cuvk0sa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7ues1spyz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Burnout by Job Level (Box Plot)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box plot depicting the spread of burnout levels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) across different job levels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Post_Level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analyze how job roles and responsibilities influence burnout levels.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iark3my0nx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Work Hours vs. Burnout (Scatter Plot)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scatter plot examining the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Time_of_service</w:t>
      </w:r>
      <w:r w:rsidDel="00000000" w:rsidR="00000000" w:rsidRPr="00000000">
        <w:rPr>
          <w:rtl w:val="0"/>
        </w:rPr>
        <w:t xml:space="preserve"> (work hours proxy)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explore how increasing work hours correlate with burnout.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hpiw9rlsp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khbj3dxv22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yesmmnhq5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s5b7mtag3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eghgnn2ky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d6w1truar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9v4mhn72m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k6xc9wt4i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sdaj7ljfh4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lyf8d4lx5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xs7j7zrf4x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Burnout Distribution by Work-Life Balance (Pie Chart)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shows</w:t>
      </w:r>
      <w:r w:rsidDel="00000000" w:rsidR="00000000" w:rsidRPr="00000000">
        <w:rPr>
          <w:rtl w:val="0"/>
        </w:rPr>
        <w:t xml:space="preserve">:</w:t>
        <w:br w:type="textWrapping"/>
        <w:t xml:space="preserve">A pie chart showing the proportion of employees at different levels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Work_Life_balance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give a quick overview of how many employees are thriving versus struggling in terms of work-life balance.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Burnout by Age (Histogram)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Displays how burnout levels vary across different age groups, helping identify age-specific vulnerabilities.</w:t>
        <w:br w:type="textWrapping"/>
      </w:r>
      <w:r w:rsidDel="00000000" w:rsidR="00000000" w:rsidRPr="00000000">
        <w:rPr>
          <w:b w:val="1"/>
          <w:rtl w:val="0"/>
        </w:rPr>
        <w:t xml:space="preserve">Code Reference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burnout_by_age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Burnout Trends by Seniority (Line Graph)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Illustrates how burnout levels change with seniority, highlighting trends related to employees' time in service.</w:t>
        <w:br w:type="textWrapping"/>
      </w:r>
      <w:r w:rsidDel="00000000" w:rsidR="00000000" w:rsidRPr="00000000">
        <w:rPr>
          <w:b w:val="1"/>
          <w:rtl w:val="0"/>
        </w:rPr>
        <w:t xml:space="preserve">Code Reference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burnout_trends_by_seniority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