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Министерство</w:t>
      </w:r>
      <w:r>
        <w:rPr>
          <w:rFonts w:ascii="Times New Roman" w:hAnsi="Times New Roman" w:cs="Times New Roman"/>
          <w:color w:val="000000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образования</w:t>
      </w:r>
      <w:r>
        <w:rPr>
          <w:rFonts w:ascii="Times New Roman" w:hAnsi="Times New Roman" w:cs="Times New Roman"/>
          <w:color w:val="000000"/>
          <w:spacing w:val="-13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Республики</w:t>
      </w:r>
      <w:r>
        <w:rPr>
          <w:rFonts w:ascii="Times New Roman" w:hAnsi="Times New Roman" w:cs="Times New Roman"/>
          <w:color w:val="000000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Беларусь Учреждение образования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76" w:lineRule="auto"/>
        <w:ind w:right="1015" w:left="101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«Брестский</w:t>
      </w:r>
      <w:r>
        <w:rPr>
          <w:rFonts w:ascii="Times New Roman" w:hAnsi="Times New Roman" w:cs="Times New Roman"/>
          <w:color w:val="000000"/>
          <w:spacing w:val="-14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государственный</w:t>
      </w:r>
      <w:r>
        <w:rPr>
          <w:rFonts w:ascii="Times New Roman" w:hAnsi="Times New Roman" w:cs="Times New Roman"/>
          <w:color w:val="000000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технический</w:t>
      </w:r>
      <w:r>
        <w:rPr>
          <w:rFonts w:ascii="Times New Roman" w:hAnsi="Times New Roman" w:cs="Times New Roman"/>
          <w:color w:val="000000"/>
          <w:spacing w:val="-1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университет» Кафедра ИИТ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 w:before="171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698"/>
        <w:pBdr/>
        <w:spacing w:after="0"/>
        <w:ind/>
        <w:jc w:val="center"/>
        <w:rPr>
          <w:rFonts w:ascii="Times New Roman" w:hAnsi="Times New Roman" w:cs="Times New Roman"/>
          <w:spacing w:val="-5"/>
          <w:sz w:val="28"/>
          <w:szCs w:val="28"/>
        </w:rPr>
      </w:pPr>
      <w:r>
        <w:rPr>
          <w:rFonts w:ascii="Times New Roman" w:hAnsi="Times New Roman"/>
          <w:color w:val="000000"/>
          <w:sz w:val="28"/>
        </w:rPr>
        <w:t xml:space="preserve">Лабораторная работа №3</w:t>
      </w:r>
      <w:r>
        <w:rPr>
          <w:rFonts w:ascii="Times New Roman" w:hAnsi="Times New Roman" w:cs="Times New Roman"/>
          <w:spacing w:val="-5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pacing w:val="-5"/>
          <w:sz w:val="28"/>
          <w:szCs w:val="28"/>
        </w:rPr>
      </w:pPr>
      <w:r>
        <w:rPr>
          <w:rFonts w:ascii="Times New Roman" w:hAnsi="Times New Roman" w:cs="Times New Roman"/>
          <w:spacing w:val="-5"/>
          <w:sz w:val="28"/>
          <w:szCs w:val="28"/>
        </w:rPr>
      </w:r>
      <w:r>
        <w:rPr>
          <w:rFonts w:ascii="Times New Roman" w:hAnsi="Times New Roman" w:cs="Times New Roman"/>
          <w:spacing w:val="-5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По дисциплине: «Модели решения задач в интеллектуальных системах»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6"/>
        <w:pBdr/>
        <w:spacing w:after="0" w:afterAutospacing="0" w:before="0" w:beforeAutospacing="0"/>
        <w:ind/>
        <w:jc w:val="center"/>
        <w:rPr/>
      </w:pPr>
      <w:r>
        <w:rPr>
          <w:rFonts w:ascii="Times New Roman" w:hAnsi="Times New Roman"/>
          <w:b/>
          <w:color w:val="000000"/>
          <w:sz w:val="28"/>
        </w:rPr>
        <w:t xml:space="preserve">По теме: «Сравнение сигмоиды и ReLU при решении XOR»</w:t>
      </w:r>
      <w:r/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 w:before="251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line="276" w:lineRule="auto"/>
        <w:ind w:right="520" w:left="648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Выполнил: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студент</w:t>
      </w:r>
      <w:r>
        <w:rPr>
          <w:rFonts w:ascii="Times New Roman" w:hAnsi="Times New Roman" w:cs="Times New Roman"/>
          <w:color w:val="000000"/>
          <w:spacing w:val="-18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4</w:t>
      </w:r>
      <w:r>
        <w:rPr>
          <w:rFonts w:ascii="Times New Roman" w:hAnsi="Times New Roman" w:cs="Times New Roman"/>
          <w:color w:val="000000"/>
          <w:spacing w:val="-16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курса группы ИИ-25 Дулько Д.А. 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Андренко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К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В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710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Брест</w:t>
      </w:r>
      <w:r>
        <w:rPr>
          <w:rFonts w:ascii="Times New Roman" w:hAnsi="Times New Roman" w:cs="Times New Roman"/>
          <w:color w:val="000000"/>
          <w:spacing w:val="-4"/>
          <w:sz w:val="28"/>
          <w:szCs w:val="28"/>
        </w:rPr>
        <w:t xml:space="preserve"> 2026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keepNext w:val="true"/>
        <w:pBdr/>
        <w:spacing w:after="100" w:before="0" w:line="240" w:lineRule="auto"/>
        <w:ind w:firstLine="0"/>
        <w:rPr/>
      </w:pPr>
      <w:r>
        <w:rPr>
          <w:b/>
        </w:rPr>
        <w:t xml:space="preserve">Цель работы</w:t>
      </w:r>
      <w:r/>
    </w:p>
    <w:p>
      <w:pPr>
        <w:keepNext w:val="false"/>
        <w:pBdr/>
        <w:spacing w:after="100" w:before="0" w:line="240" w:lineRule="auto"/>
        <w:ind w:firstLine="425"/>
        <w:rPr/>
      </w:pPr>
      <w:r>
        <w:rPr>
          <w:b w:val="0"/>
        </w:rPr>
        <w:t xml:space="preserve">Сравнить скорость и устойчивость обучения персептрона 2-2-1 с сигмоидой и ReLU в скрытом слое на задаче XOR.</w:t>
      </w:r>
      <w:r/>
    </w:p>
    <w:p>
      <w:pPr>
        <w:keepNext w:val="true"/>
        <w:pBdr/>
        <w:spacing w:after="100" w:before="0" w:line="240" w:lineRule="auto"/>
        <w:ind w:firstLine="0"/>
        <w:rPr/>
      </w:pPr>
      <w:r>
        <w:rPr>
          <w:b/>
        </w:rPr>
        <w:t xml:space="preserve">Метод</w:t>
      </w:r>
      <w:r/>
    </w:p>
    <w:p>
      <w:pPr>
        <w:keepNext w:val="false"/>
        <w:pBdr/>
        <w:spacing w:after="100" w:before="0" w:line="240" w:lineRule="auto"/>
        <w:ind w:firstLine="425"/>
        <w:rPr/>
      </w:pPr>
      <w:r>
        <w:rPr>
          <w:b w:val="0"/>
        </w:rPr>
        <w:t xml:space="preserve">Классы c₀ = 7 и c₁ = -7. Входы делятся на 10, цели переводятся в 0 и 1. На выходе сигмоида, потери BCE. Обратный пересчёт: y = 7 - 14ŷ.</w:t>
      </w:r>
      <w:r/>
    </w:p>
    <w:p>
      <w:pPr>
        <w:pBdr/>
        <w:spacing w:after="80"/>
        <w:ind/>
        <w:jc w:val="center"/>
        <w:rPr/>
      </w:pPr>
      <w:r/>
      <m:oMathPara>
        <m:oMathParaPr/>
        <m:oMath>
          <m:r>
            <m:rPr/>
            <m:t>σ(s) = </m:t>
          </m:r>
          <m:f>
            <m:fPr>
              <m:ctrlPr/>
            </m:fPr>
            <m:num>
              <m:r>
                <m:rPr/>
                <m:t>1</m:t>
              </m:r>
            </m:num>
            <m:den>
              <m:r>
                <m:rPr/>
                <m:t>1 + exp(-s)</m:t>
              </m:r>
            </m:den>
          </m:f>
          <m:r>
            <m:rPr/>
            <m:t>,    ReLU(s) = max(0, s).</m:t>
          </m:r>
        </m:oMath>
      </m:oMathPara>
      <w:r/>
      <w:r/>
    </w:p>
    <w:p>
      <w:pPr>
        <w:keepNext w:val="false"/>
        <w:pBdr/>
        <w:spacing w:after="100" w:before="0" w:line="240" w:lineRule="auto"/>
        <w:ind w:firstLine="425"/>
        <w:rPr/>
      </w:pPr>
      <w:r>
        <w:rPr>
          <w:rFonts w:ascii="Times New Roman" w:hAnsi="Times New Roman" w:eastAsia="Times New Roman" w:cs="Times New Roman"/>
          <w:sz w:val="28"/>
        </w:rPr>
        <w:t xml:space="preserve">Обучение онлайн, примеры перемешиваются. η = 0,3, Ee = 0,01, предел 10 000 эпох. Рассмотрены seed 0, 4</w:t>
      </w:r>
      <w:r>
        <w:rPr>
          <w:rFonts w:ascii="Times New Roman" w:hAnsi="Times New Roman" w:eastAsia="Times New Roman" w:cs="Times New Roman"/>
          <w:sz w:val="28"/>
        </w:rPr>
        <w:t xml:space="preserve">, 5, 32 и 60 для сравнения успешных и неудачных запусков. Начальные веса и смещения от -0,5 до 0,5. На выходе δ = ŷ - t, в скрытом слое δⱼ = δwⱼf′(sⱼ). Для сигмоиды f′ = h(1 - h), для ReLU f′ = 1 при s &gt; 0, иначе 0. Градиенты считаются до обновления весов.</w:t>
      </w:r>
      <w:r/>
    </w:p>
    <w:p>
      <w:pPr>
        <w:keepNext w:val="true"/>
        <w:pBdr/>
        <w:spacing w:after="100" w:before="0" w:line="240" w:lineRule="auto"/>
        <w:ind w:firstLine="0"/>
        <w:rPr/>
      </w:pPr>
      <w:r>
        <w:rPr>
          <w:b/>
        </w:rPr>
        <w:t xml:space="preserve">Результаты работы программы</w:t>
      </w:r>
      <w:r>
        <w:rPr>
          <w:b/>
        </w:rPr>
        <w:t xml:space="preserve"/>
      </w:r>
      <w:r>
        <w:rPr>
          <w:b/>
        </w:rPr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675" cy="27051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16960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400675" cy="2705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5.25pt;height:213.0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  <w:r/>
    </w:p>
    <w:p>
      <w:pPr>
        <w:keepNext w:val="false"/>
        <w:pBdr/>
        <w:spacing w:after="160" w:before="0" w:line="240" w:lineRule="auto"/>
        <w:ind w:firstLine="0"/>
        <w:jc w:val="center"/>
        <w:rPr/>
      </w:pPr>
      <w:r>
        <w:rPr>
          <w:rFonts w:ascii="Times New Roman" w:hAnsi="Times New Roman" w:eastAsia="Times New Roman" w:cs="Times New Roman"/>
          <w:sz w:val="28"/>
        </w:rPr>
        <w:t xml:space="preserve">Рисунок 1. Результаты пяти запусков</w:t>
      </w:r>
      <w:r/>
    </w:p>
    <w:p>
      <w:pPr>
        <w:keepNext w:val="true"/>
        <w:pageBreakBefore w:val="false"/>
        <w:pBdr/>
        <w:spacing w:after="60" w:before="0" w:line="240" w:lineRule="auto"/>
        <w:ind w:firstLine="0"/>
        <w:jc w:val="left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7250" cy="45053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84310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667249" cy="4505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67.50pt;height:354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  <w:r/>
    </w:p>
    <w:p>
      <w:pPr>
        <w:pBdr/>
        <w:spacing w:after="120"/>
        <w:ind w:firstLine="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</w:rPr>
        <w:t xml:space="preserve">Рисунок 2. Проверочные примеры работы сети</w:t>
      </w:r>
      <w:r/>
    </w:p>
    <w:p w14:paraId="35EAE7C3">
      <w:pPr>
        <w:keepNext w:val="true"/>
        <w:pageBreakBefore w:val="false"/>
        <w:pBdr/>
        <w:spacing w:after="60" w:before="120"/>
        <w:ind w:firstLine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68000" cy="4694400"/>
                <wp:effectExtent l="0" t="0" r="0" b="0"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6970514" name="lab3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868000" cy="469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2.05pt;height:369.64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</w:p>
    <w:p w14:paraId="09F8CF87">
      <w:pPr>
        <w:keepNext w:val="false"/>
        <w:pBdr/>
        <w:spacing w:after="120" w:before="0" w:line="240" w:lineRule="auto"/>
        <w:ind w:firstLine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Рисунок 3. Сходимость, число эпох и карты выходов сети</w:t>
      </w:r>
      <w:r/>
    </w:p>
    <w:p w14:paraId="6387EC77">
      <w:pPr>
        <w:keepNext w:val="false"/>
        <w:pBdr/>
        <w:spacing w:after="120" w:before="0" w:line="240" w:lineRule="auto"/>
        <w:ind w:firstLine="0"/>
        <w:jc w:val="left"/>
        <w:rPr/>
      </w:pPr>
      <w:r>
        <w:rPr>
          <w:b/>
          <w:highlight w:val="none"/>
        </w:rPr>
      </w:r>
      <w:r>
        <w:rPr>
          <w:b/>
          <w:highlight w:val="none"/>
        </w:rPr>
      </w:r>
      <w:r>
        <w:rPr>
          <w:b/>
          <w:highlight w:val="none"/>
        </w:rPr>
      </w:r>
    </w:p>
    <w:p w14:paraId="492269E4">
      <w:pPr>
        <w:keepNext w:val="false"/>
        <w:pBdr/>
        <w:spacing w:after="120" w:before="0" w:line="240" w:lineRule="auto"/>
        <w:ind w:firstLine="0"/>
        <w:jc w:val="left"/>
        <w:rPr>
          <w:b/>
          <w:bCs/>
          <w:highlight w:val="none"/>
        </w:rPr>
        <w:pageBreakBefore/>
      </w:pPr>
      <w:r>
        <w:rPr>
          <w:rFonts w:ascii="Times New Roman" w:hAnsi="Times New Roman" w:eastAsia="Times New Roman" w:cs="Times New Roman"/>
          <w:sz w:val="28"/>
        </w:rPr>
      </w:r>
      <w:r>
        <w:rPr>
          <w:b/>
        </w:rPr>
        <w:t xml:space="preserve">Ответы на вопросы</w:t>
      </w:r>
      <w:r/>
      <w:r/>
    </w:p>
    <w:p>
      <w:pPr>
        <w:keepNext w:val="false"/>
        <w:keepLines w:val="true"/>
        <w:pBdr/>
        <w:spacing w:after="100" w:before="0" w:line="240" w:lineRule="auto"/>
        <w:ind w:firstLine="425"/>
        <w:jc w:val="left"/>
        <w:rPr/>
      </w:pPr>
      <w:r>
        <w:rPr>
          <w:rFonts w:ascii="Times New Roman" w:hAnsi="Times New Roman" w:eastAsia="Times New Roman" w:cs="Times New Roman"/>
          <w:sz w:val="28"/>
        </w:rPr>
        <w:t xml:space="preserve">1. В этой серии сигмоида сошлась в 4 из 5 запусков, ReLU в 3 из 5. Успешные запуски ReLU потребовали 484-507 эпох, сигмоиды 3382-5277 эпох. На этих примерах ReLU обучалась быстрее, а сигмоида чаще достигала Ee.</w:t>
      </w:r>
      <w:r/>
    </w:p>
    <w:p>
      <w:pPr>
        <w:keepNext w:val="false"/>
        <w:keepLines w:val="true"/>
        <w:pBdr/>
        <w:spacing w:after="100" w:before="0" w:line="240" w:lineRule="auto"/>
        <w:ind w:firstLine="425"/>
        <w:jc w:val="left"/>
        <w:rPr/>
      </w:pPr>
      <w:r>
        <w:rPr>
          <w:rFonts w:ascii="Times New Roman" w:hAnsi="Times New Roman" w:eastAsia="Times New Roman" w:cs="Times New Roman"/>
          <w:sz w:val="28"/>
        </w:rPr>
        <w:t xml:space="preserve">2. У сигмоиды граница гладкая. У ReLU граница состоит из прямолинейных участков. Выходная сигмоида делает переход значений на карте плавным.</w:t>
      </w:r>
      <w:r/>
    </w:p>
    <w:p>
      <w:pPr>
        <w:keepNext w:val="false"/>
        <w:keepLines w:val="true"/>
        <w:pBdr/>
        <w:spacing w:after="100" w:before="0" w:line="240" w:lineRule="auto"/>
        <w:ind w:firstLine="425"/>
        <w:jc w:val="left"/>
        <w:rPr/>
      </w:pPr>
      <w:r>
        <w:rPr>
          <w:rFonts w:ascii="Times New Roman" w:hAnsi="Times New Roman" w:eastAsia="Times New Roman" w:cs="Times New Roman"/>
          <w:sz w:val="28"/>
        </w:rPr>
        <w:t xml:space="preserve">3. При положительном входе производная ReLU равна 1, что уменьшает затухание градиента. В успешных запусках на XOR обучение быстрее. При отрицательном входе производная равна нулю, поэтому нейрон может перестать обучаться.</w:t>
      </w:r>
      <w:r/>
    </w:p>
    <w:p>
      <w:pPr>
        <w:keepNext w:val="false"/>
        <w:keepLines w:val="true"/>
        <w:pBdr/>
        <w:spacing w:after="100" w:before="0" w:line="240" w:lineRule="auto"/>
        <w:ind w:firstLine="425"/>
        <w:jc w:val="left"/>
        <w:rPr/>
      </w:pPr>
      <w:r>
        <w:rPr>
          <w:rFonts w:ascii="Times New Roman" w:hAnsi="Times New Roman" w:eastAsia="Times New Roman" w:cs="Times New Roman"/>
          <w:sz w:val="28"/>
        </w:rPr>
        <w:t xml:space="preserve">4. Обе сети способны решать XOR благодаря скрытому слою. При seed 4 обе конфигурации правильно распознали все четыре обучающих примера.</w:t>
      </w:r>
      <w:r/>
    </w:p>
    <w:p>
      <w:pPr>
        <w:keepNext w:val="false"/>
        <w:keepLines w:val="true"/>
        <w:pBdr/>
        <w:spacing w:after="100" w:before="0" w:line="240" w:lineRule="auto"/>
        <w:ind w:firstLine="425"/>
        <w:jc w:val="left"/>
        <w:rPr/>
      </w:pPr>
      <w:r>
        <w:rPr>
          <w:rFonts w:ascii="Times New Roman" w:hAnsi="Times New Roman" w:eastAsia="Times New Roman" w:cs="Times New Roman"/>
          <w:sz w:val="28"/>
        </w:rPr>
        <w:t xml:space="preserve">5. При seed 5 оба ReLU-нейрона выдавали ноль на всех примерах, accuracy осталась 50%. Градиент скрытого слоя обнулился. При seed 0 полностью нулевых нейронов нет, но обучение также не достигло Ee, accuracy составила 75%.</w:t>
      </w:r>
      <w:r/>
    </w:p>
    <w:p>
      <w:pPr>
        <w:keepNext w:val="false"/>
        <w:keepLines w:val="true"/>
        <w:pBdr/>
        <w:spacing w:after="100" w:before="0" w:line="240" w:lineRule="auto"/>
        <w:ind w:firstLine="425"/>
        <w:jc w:val="left"/>
        <w:rPr/>
      </w:pPr>
      <w:r>
        <w:rPr>
          <w:rFonts w:ascii="Times New Roman" w:hAnsi="Times New Roman" w:eastAsia="Times New Roman" w:cs="Times New Roman"/>
          <w:sz w:val="28"/>
        </w:rPr>
        <w:t xml:space="preserve">6. XOR нельзя разделить одной прямой. Для обеих активаций нужен скрытый слой с нелинейностью.</w:t>
      </w:r>
      <w:r/>
    </w:p>
    <w:p>
      <w:pPr>
        <w:keepNext w:val="false"/>
        <w:keepLines w:val="true"/>
        <w:pBdr/>
        <w:spacing w:after="100" w:before="0" w:line="240" w:lineRule="auto"/>
        <w:ind w:firstLine="425"/>
        <w:jc w:val="left"/>
        <w:rPr/>
      </w:pPr>
      <w:r>
        <w:rPr>
          <w:rFonts w:ascii="Times New Roman" w:hAnsi="Times New Roman" w:eastAsia="Times New Roman" w:cs="Times New Roman"/>
          <w:sz w:val="28"/>
        </w:rPr>
        <w:t xml:space="preserve">7. На обеих картах для seed 4 четыре точки XOR разделены правильно. Граница у сигмоиды гладкая, у ReLU кусочно-линейная. Вне таблицы истинности ответы определяются обученными весами.</w:t>
      </w:r>
      <w:r/>
    </w:p>
    <w:sectPr>
      <w:footnotePr/>
      <w:endnotePr/>
      <w:type w:val="nextPage"/>
      <w:pgSz w:h="16840" w:orient="portrait" w:w="11910"/>
      <w:pgMar w:top="1280" w:right="850" w:bottom="280" w:left="17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Symbol">
    <w:panose1 w:val="05050102010706020507"/>
  </w:font>
  <w:font w:name="Courier New">
    <w:panose1 w:val="02070309020205020404"/>
  </w:font>
  <w:font w:name="Microsoft Sans Serif">
    <w:panose1 w:val="020B0604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6F758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38974A6E"/>
    <w:lvl w:ilvl="0">
      <w:isLgl w:val="false"/>
      <w:lvlJc w:val="left"/>
      <w:lvlText w:val="%1."/>
      <w:numFmt w:val="decimal"/>
      <w:pPr>
        <w:pBdr/>
        <w:spacing/>
        <w:ind w:hanging="360" w:left="36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1"/>
      </w:pPr>
      <w:rPr/>
      <w:start w:val="1"/>
      <w:suff w:val="tab"/>
    </w:lvl>
  </w:abstractNum>
  <w:abstractNum w:abstractNumId="2">
    <w:nsid w:val="5E3850AC"/>
    <w:lvl w:ilvl="0">
      <w:isLgl w:val="false"/>
      <w:lvlJc w:val="left"/>
      <w:lvlText w:val="%1)"/>
      <w:numFmt w:val="decimal"/>
      <w:pPr>
        <w:pBdr/>
        <w:spacing/>
        <w:ind w:hanging="360" w:left="361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1"/>
      </w:pPr>
      <w:rPr/>
      <w:start w:val="1"/>
      <w:suff w:val="tab"/>
    </w:lvl>
  </w:abstractNum>
  <w:abstractNum w:abstractNumId="3">
    <w:nsid w:val="6EA031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Times New Roman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738C091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7C616AA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0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67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8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8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86"/>
    <w:link w:val="176"/>
    <w:uiPriority w:val="99"/>
    <w:pPr>
      <w:pBdr/>
      <w:spacing/>
      <w:ind/>
    </w:pPr>
  </w:style>
  <w:style w:type="paragraph" w:styleId="178">
    <w:name w:val="Footer"/>
    <w:basedOn w:val="67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86"/>
    <w:link w:val="178"/>
    <w:uiPriority w:val="99"/>
    <w:pPr>
      <w:pBdr/>
      <w:spacing/>
      <w:ind/>
    </w:pPr>
  </w:style>
  <w:style w:type="paragraph" w:styleId="180">
    <w:name w:val="Caption"/>
    <w:basedOn w:val="676"/>
    <w:next w:val="6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8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8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8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86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6"/>
    <w:next w:val="676"/>
    <w:uiPriority w:val="39"/>
    <w:unhideWhenUsed/>
    <w:pPr>
      <w:pBdr/>
      <w:spacing w:after="100"/>
      <w:ind/>
    </w:pPr>
  </w:style>
  <w:style w:type="paragraph" w:styleId="190">
    <w:name w:val="toc 2"/>
    <w:basedOn w:val="676"/>
    <w:next w:val="676"/>
    <w:uiPriority w:val="39"/>
    <w:unhideWhenUsed/>
    <w:pPr>
      <w:pBdr/>
      <w:spacing w:after="100"/>
      <w:ind w:left="220"/>
    </w:pPr>
  </w:style>
  <w:style w:type="paragraph" w:styleId="191">
    <w:name w:val="toc 3"/>
    <w:basedOn w:val="676"/>
    <w:next w:val="676"/>
    <w:uiPriority w:val="39"/>
    <w:unhideWhenUsed/>
    <w:pPr>
      <w:pBdr/>
      <w:spacing w:after="100"/>
      <w:ind w:left="440"/>
    </w:pPr>
  </w:style>
  <w:style w:type="paragraph" w:styleId="192">
    <w:name w:val="toc 4"/>
    <w:basedOn w:val="676"/>
    <w:next w:val="676"/>
    <w:uiPriority w:val="39"/>
    <w:unhideWhenUsed/>
    <w:pPr>
      <w:pBdr/>
      <w:spacing w:after="100"/>
      <w:ind w:left="660"/>
    </w:pPr>
  </w:style>
  <w:style w:type="paragraph" w:styleId="193">
    <w:name w:val="toc 5"/>
    <w:basedOn w:val="676"/>
    <w:next w:val="676"/>
    <w:uiPriority w:val="39"/>
    <w:unhideWhenUsed/>
    <w:pPr>
      <w:pBdr/>
      <w:spacing w:after="100"/>
      <w:ind w:left="880"/>
    </w:pPr>
  </w:style>
  <w:style w:type="paragraph" w:styleId="194">
    <w:name w:val="toc 6"/>
    <w:basedOn w:val="676"/>
    <w:next w:val="676"/>
    <w:uiPriority w:val="39"/>
    <w:unhideWhenUsed/>
    <w:pPr>
      <w:pBdr/>
      <w:spacing w:after="100"/>
      <w:ind w:left="1100"/>
    </w:pPr>
  </w:style>
  <w:style w:type="paragraph" w:styleId="195">
    <w:name w:val="toc 7"/>
    <w:basedOn w:val="676"/>
    <w:next w:val="676"/>
    <w:uiPriority w:val="39"/>
    <w:unhideWhenUsed/>
    <w:pPr>
      <w:pBdr/>
      <w:spacing w:after="100"/>
      <w:ind w:left="1320"/>
    </w:pPr>
  </w:style>
  <w:style w:type="paragraph" w:styleId="196">
    <w:name w:val="toc 8"/>
    <w:basedOn w:val="676"/>
    <w:next w:val="676"/>
    <w:uiPriority w:val="39"/>
    <w:unhideWhenUsed/>
    <w:pPr>
      <w:pBdr/>
      <w:spacing w:after="100"/>
      <w:ind w:left="1540"/>
    </w:pPr>
  </w:style>
  <w:style w:type="paragraph" w:styleId="197">
    <w:name w:val="toc 9"/>
    <w:basedOn w:val="676"/>
    <w:next w:val="67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8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6"/>
    <w:next w:val="676"/>
    <w:uiPriority w:val="99"/>
    <w:unhideWhenUsed/>
    <w:pPr>
      <w:pBdr/>
      <w:spacing w:after="0" w:afterAutospacing="0"/>
      <w:ind/>
    </w:pPr>
  </w:style>
  <w:style w:type="paragraph" w:styleId="676" w:default="1">
    <w:name w:val="Normal"/>
    <w:qFormat/>
    <w:pPr>
      <w:widowControl w:val="false"/>
      <w:pBdr/>
      <w:spacing w:after="0" w:line="240" w:lineRule="auto"/>
      <w:ind/>
    </w:pPr>
    <w:rPr>
      <w:rFonts w:ascii="Times New Roman" w:hAnsi="Times New Roman" w:eastAsia="Microsoft Sans Serif" w:cs="Microsoft Sans Serif"/>
      <w:color w:val="000000"/>
      <w:sz w:val="28"/>
      <w:szCs w:val="22"/>
      <w:lang w:val="ru-RU"/>
      <w14:ligatures w14:val="none"/>
    </w:rPr>
  </w:style>
  <w:style w:type="paragraph" w:styleId="677">
    <w:name w:val="Heading 1"/>
    <w:basedOn w:val="676"/>
    <w:next w:val="676"/>
    <w:link w:val="68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78">
    <w:name w:val="Heading 2"/>
    <w:basedOn w:val="676"/>
    <w:next w:val="676"/>
    <w:link w:val="690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79">
    <w:name w:val="Heading 3"/>
    <w:basedOn w:val="676"/>
    <w:next w:val="676"/>
    <w:link w:val="69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80">
    <w:name w:val="Heading 4"/>
    <w:basedOn w:val="676"/>
    <w:next w:val="676"/>
    <w:link w:val="692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81">
    <w:name w:val="Heading 5"/>
    <w:basedOn w:val="676"/>
    <w:next w:val="676"/>
    <w:link w:val="693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82">
    <w:name w:val="Heading 6"/>
    <w:basedOn w:val="676"/>
    <w:next w:val="676"/>
    <w:link w:val="694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83">
    <w:name w:val="Heading 7"/>
    <w:basedOn w:val="676"/>
    <w:next w:val="676"/>
    <w:link w:val="695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84">
    <w:name w:val="Heading 8"/>
    <w:basedOn w:val="676"/>
    <w:next w:val="676"/>
    <w:link w:val="696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85">
    <w:name w:val="Heading 9"/>
    <w:basedOn w:val="676"/>
    <w:next w:val="676"/>
    <w:link w:val="697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86" w:default="1">
    <w:name w:val="Default Paragraph Font"/>
    <w:uiPriority w:val="1"/>
    <w:semiHidden/>
    <w:unhideWhenUsed/>
    <w:pPr>
      <w:pBdr/>
      <w:spacing/>
      <w:ind/>
    </w:pPr>
  </w:style>
  <w:style w:type="table" w:styleId="6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88" w:default="1">
    <w:name w:val="No List"/>
    <w:uiPriority w:val="99"/>
    <w:semiHidden/>
    <w:unhideWhenUsed/>
    <w:pPr>
      <w:pBdr/>
      <w:spacing/>
      <w:ind/>
    </w:pPr>
  </w:style>
  <w:style w:type="character" w:styleId="689" w:customStyle="1">
    <w:name w:val="Heading 1 Char"/>
    <w:basedOn w:val="686"/>
    <w:link w:val="677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90" w:customStyle="1">
    <w:name w:val="Heading 2 Char"/>
    <w:basedOn w:val="686"/>
    <w:link w:val="6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91" w:customStyle="1">
    <w:name w:val="Heading 3 Char"/>
    <w:basedOn w:val="686"/>
    <w:link w:val="67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92" w:customStyle="1">
    <w:name w:val="Heading 4 Char"/>
    <w:basedOn w:val="686"/>
    <w:link w:val="680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93" w:customStyle="1">
    <w:name w:val="Heading 5 Char"/>
    <w:basedOn w:val="686"/>
    <w:link w:val="68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94" w:customStyle="1">
    <w:name w:val="Heading 6 Char"/>
    <w:basedOn w:val="686"/>
    <w:link w:val="682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95" w:customStyle="1">
    <w:name w:val="Heading 7 Char"/>
    <w:basedOn w:val="686"/>
    <w:link w:val="683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96" w:customStyle="1">
    <w:name w:val="Heading 8 Char"/>
    <w:basedOn w:val="686"/>
    <w:link w:val="684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97" w:customStyle="1">
    <w:name w:val="Heading 9 Char"/>
    <w:basedOn w:val="686"/>
    <w:link w:val="685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98">
    <w:name w:val="Title"/>
    <w:basedOn w:val="676"/>
    <w:next w:val="676"/>
    <w:link w:val="699"/>
    <w:uiPriority w:val="10"/>
    <w:qFormat/>
    <w:pPr>
      <w:pBdr/>
      <w:spacing w:after="80"/>
      <w:ind/>
      <w:contextualSpacing w:val="true"/>
    </w:pPr>
    <w:rPr>
      <w:rFonts w:ascii="Times New Roman" w:hAnsi="Times New Roman" w:asciiTheme="majorHAnsi" w:hAnsiTheme="majorHAnsi" w:eastAsiaTheme="majorEastAsia" w:cstheme="majorBidi"/>
      <w:b w:val="0"/>
      <w:color w:val="000000"/>
      <w:spacing w:val="-10"/>
      <w:sz w:val="28"/>
      <w:szCs w:val="56"/>
    </w:rPr>
  </w:style>
  <w:style w:type="character" w:styleId="699" w:customStyle="1">
    <w:name w:val="Title Char"/>
    <w:basedOn w:val="686"/>
    <w:link w:val="698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00">
    <w:name w:val="Subtitle"/>
    <w:basedOn w:val="676"/>
    <w:next w:val="676"/>
    <w:link w:val="701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01" w:customStyle="1">
    <w:name w:val="Subtitle Char"/>
    <w:basedOn w:val="686"/>
    <w:link w:val="700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02">
    <w:name w:val="Quote"/>
    <w:basedOn w:val="676"/>
    <w:next w:val="676"/>
    <w:link w:val="70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03" w:customStyle="1">
    <w:name w:val="Quote Char"/>
    <w:basedOn w:val="686"/>
    <w:link w:val="70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04">
    <w:name w:val="List Paragraph"/>
    <w:basedOn w:val="676"/>
    <w:uiPriority w:val="1"/>
    <w:qFormat/>
    <w:pPr>
      <w:pBdr/>
      <w:spacing/>
      <w:ind w:left="720"/>
      <w:contextualSpacing w:val="true"/>
    </w:pPr>
  </w:style>
  <w:style w:type="character" w:styleId="705">
    <w:name w:val="Intense Emphasis"/>
    <w:basedOn w:val="6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06">
    <w:name w:val="Intense Quote"/>
    <w:basedOn w:val="676"/>
    <w:next w:val="676"/>
    <w:link w:val="70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07" w:customStyle="1">
    <w:name w:val="Intense Quote Char"/>
    <w:basedOn w:val="686"/>
    <w:link w:val="70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08">
    <w:name w:val="Intense Reference"/>
    <w:basedOn w:val="6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09">
    <w:name w:val="HTML Code"/>
    <w:basedOn w:val="686"/>
    <w:uiPriority w:val="99"/>
    <w:semiHidden/>
    <w:unhideWhenUsed/>
    <w:pPr>
      <w:pBdr/>
      <w:spacing/>
      <w:ind/>
    </w:pPr>
    <w:rPr>
      <w:rFonts w:hint="default" w:ascii="Courier New" w:hAnsi="Courier New" w:eastAsia="Times New Roman" w:cs="Courier New"/>
      <w:sz w:val="20"/>
      <w:szCs w:val="20"/>
    </w:rPr>
  </w:style>
  <w:style w:type="paragraph" w:styleId="710">
    <w:name w:val="Body Text"/>
    <w:basedOn w:val="676"/>
    <w:link w:val="711"/>
    <w:uiPriority w:val="1"/>
    <w:semiHidden/>
    <w:unhideWhenUsed/>
    <w:qFormat/>
    <w:pPr>
      <w:pBdr/>
      <w:spacing/>
      <w:ind/>
    </w:pPr>
    <w:rPr>
      <w:rFonts w:ascii="Times New Roman" w:hAnsi="Times New Roman"/>
      <w:color w:val="000000"/>
      <w:sz w:val="28"/>
      <w:szCs w:val="16"/>
    </w:rPr>
  </w:style>
  <w:style w:type="character" w:styleId="711" w:customStyle="1">
    <w:name w:val="Body Text Char"/>
    <w:basedOn w:val="686"/>
    <w:link w:val="710"/>
    <w:uiPriority w:val="1"/>
    <w:semiHidden/>
    <w:pPr>
      <w:pBdr/>
      <w:spacing/>
      <w:ind/>
    </w:pPr>
    <w:rPr>
      <w:rFonts w:ascii="Microsoft Sans Serif" w:hAnsi="Microsoft Sans Serif" w:eastAsia="Microsoft Sans Serif" w:cs="Microsoft Sans Serif"/>
      <w:sz w:val="16"/>
      <w:szCs w:val="16"/>
      <w:lang w:val="ru-RU"/>
      <w14:ligatures w14:val="none"/>
    </w:rPr>
  </w:style>
  <w:style w:type="paragraph" w:styleId="712" w:customStyle="1">
    <w:name w:val="ui-markdown__paragraph"/>
    <w:basedOn w:val="676"/>
    <w:pPr>
      <w:widowControl w:val="true"/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paragraph" w:styleId="713" w:customStyle="1">
    <w:name w:val="ui-markdown__list-item"/>
    <w:basedOn w:val="676"/>
    <w:pPr>
      <w:widowControl w:val="true"/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character" w:styleId="714" w:customStyle="1">
    <w:name w:val="font-semibold"/>
    <w:basedOn w:val="686"/>
    <w:pPr>
      <w:pBdr/>
      <w:spacing/>
      <w:ind/>
    </w:pPr>
  </w:style>
  <w:style w:type="character" w:styleId="715" w:customStyle="1">
    <w:name w:val="ui-markdown__inline-path-filename"/>
    <w:basedOn w:val="686"/>
    <w:pPr>
      <w:pBdr/>
      <w:spacing/>
      <w:ind/>
    </w:pPr>
  </w:style>
  <w:style w:type="paragraph" w:styleId="716">
    <w:name w:val="Normal (Web)"/>
    <w:basedOn w:val="676"/>
    <w:uiPriority w:val="99"/>
    <w:unhideWhenUsed/>
    <w:pPr>
      <w:widowControl w:val="true"/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color w:val="000000"/>
      <w:sz w:val="28"/>
      <w:szCs w:val="24"/>
      <w:lang w:eastAsia="en-GB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3</dc:title>
  <dc:subject>Сравнение сигмоиды и ReLU при решении XOR</dc:subject>
  <dc:creator>Дулько Д.А.</dc:creator>
  <cp:keywords/>
  <dc:description/>
  <cp:revision>3</cp:revision>
  <dcterms:created xsi:type="dcterms:W3CDTF">2026-09-04T07:23:00Z</dcterms:created>
  <dcterms:modified xsi:type="dcterms:W3CDTF">2026-10-16T14:03:53Z</dcterms:modified>
</cp:coreProperties>
</file>