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ascii="Times New Roman" w:hAnsi="Times New Roman" w:cs="Times New Roman"/>
          <w:smallCaps/>
          <w:sz w:val="40"/>
        </w:rPr>
      </w:pPr>
      <w:r>
        <w:rPr>
          <w:rFonts w:cs="Times New Roman" w:ascii="Times New Roman" w:hAnsi="Times New Roman"/>
          <w:smallCaps/>
          <w:sz w:val="40"/>
        </w:rPr>
        <w:t>Curriculum Vitae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Alexandria K. Vail</w:t>
      </w:r>
    </w:p>
    <w:tbl>
      <w:tblPr>
        <w:tblW w:w="7089" w:type="dxa"/>
        <w:jc w:val="center"/>
        <w:tblInd w:w="0" w:type="dxa"/>
        <w:tblBorders/>
        <w:tblCellMar>
          <w:top w:w="0" w:type="dxa"/>
          <w:left w:w="128" w:type="dxa"/>
          <w:bottom w:w="0" w:type="dxa"/>
          <w:right w:w="108" w:type="dxa"/>
        </w:tblCellMar>
      </w:tblPr>
      <w:tblGrid>
        <w:gridCol w:w="3762"/>
        <w:gridCol w:w="3327"/>
      </w:tblGrid>
      <w:tr>
        <w:trPr>
          <w:trHeight w:val="1006" w:hRule="atLeast"/>
        </w:trPr>
        <w:tc>
          <w:tcPr>
            <w:tcW w:w="3762" w:type="dxa"/>
            <w:tcBorders/>
            <w:shd w:fill="FFFFF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avail@cs.cmu.edu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alexandriakvail.com</w:t>
            </w:r>
          </w:p>
        </w:tc>
        <w:tc>
          <w:tcPr>
            <w:tcW w:w="3327" w:type="dxa"/>
            <w:tcBorders/>
            <w:shd w:fill="FFFFF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5000 Forbes Avenue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Human-Computer Interaction Institute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Pittsburgh, PA 15213-3815</w:t>
            </w:r>
          </w:p>
        </w:tc>
      </w:tr>
    </w:tbl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Education</w:t>
      </w:r>
    </w:p>
    <w:p>
      <w:pPr>
        <w:pStyle w:val="Normal"/>
        <w:ind w:left="1440" w:right="0" w:hanging="1440"/>
        <w:rPr/>
      </w:pPr>
      <w:r>
        <w:rPr>
          <w:rFonts w:cs="Times New Roman" w:ascii="Times New Roman" w:hAnsi="Times New Roman"/>
        </w:rPr>
        <w:t>2016 –</w:t>
        <w:tab/>
      </w:r>
      <w:r>
        <w:rPr>
          <w:rFonts w:cs="Times New Roman" w:ascii="Times New Roman" w:hAnsi="Times New Roman"/>
          <w:b/>
        </w:rPr>
        <w:t>Ph.D.</w:t>
      </w:r>
      <w:r>
        <w:rPr>
          <w:rFonts w:cs="Times New Roman" w:ascii="Times New Roman" w:hAnsi="Times New Roman"/>
        </w:rPr>
        <w:t>, Human-Computer Interaction</w:t>
        <w:br/>
        <w:t>Carnegie Mellon University</w:t>
        <w:br/>
        <w:t>Advisor: Dr. Louis-Philippe Morency</w:t>
      </w:r>
    </w:p>
    <w:p>
      <w:pPr>
        <w:pStyle w:val="Normal"/>
        <w:ind w:left="1440" w:right="0" w:hanging="1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2015 – 2016</w:t>
        <w:tab/>
        <w:t>Ph.D. Student, Computer Science</w:t>
        <w:br/>
        <w:t>North Carolina State University</w:t>
        <w:br/>
        <w:t>Advisors: Dr. Kristy Boyer, Dr. James Lester</w:t>
      </w:r>
    </w:p>
    <w:p>
      <w:pPr>
        <w:pStyle w:val="Normal"/>
        <w:ind w:left="1440" w:right="0" w:hanging="1440"/>
        <w:rPr/>
      </w:pPr>
      <w:r>
        <w:rPr>
          <w:rFonts w:cs="Times New Roman" w:ascii="Times New Roman" w:hAnsi="Times New Roman"/>
        </w:rPr>
        <w:t>2011 – 2015</w:t>
        <w:tab/>
      </w:r>
      <w:r>
        <w:rPr>
          <w:rFonts w:cs="Times New Roman" w:ascii="Times New Roman" w:hAnsi="Times New Roman"/>
          <w:b/>
        </w:rPr>
        <w:t>B.S.</w:t>
      </w:r>
      <w:r>
        <w:rPr>
          <w:rFonts w:cs="Times New Roman" w:ascii="Times New Roman" w:hAnsi="Times New Roman"/>
        </w:rPr>
        <w:t xml:space="preserve">, Computer Science, </w:t>
      </w:r>
      <w:r>
        <w:rPr>
          <w:rFonts w:cs="Times New Roman" w:ascii="Times New Roman" w:hAnsi="Times New Roman"/>
          <w:b/>
        </w:rPr>
        <w:t>B.S.</w:t>
      </w:r>
      <w:r>
        <w:rPr>
          <w:rFonts w:cs="Times New Roman" w:ascii="Times New Roman" w:hAnsi="Times New Roman"/>
        </w:rPr>
        <w:t>, Mathematics,</w:t>
      </w:r>
      <w:r>
        <w:rPr>
          <w:rFonts w:cs="Times New Roman" w:ascii="Times New Roman" w:hAnsi="Times New Roman"/>
          <w:i/>
        </w:rPr>
        <w:t xml:space="preserve"> magna cum laude</w:t>
      </w:r>
      <w:r>
        <w:rPr>
          <w:rFonts w:cs="Times New Roman" w:ascii="Times New Roman" w:hAnsi="Times New Roman"/>
        </w:rPr>
        <w:t>, 3.6/4.0</w:t>
        <w:br/>
        <w:t>North Carolina State University</w:t>
      </w:r>
    </w:p>
    <w:p>
      <w:pPr>
        <w:pStyle w:val="Normal"/>
        <w:ind w:left="1440" w:right="0" w:hanging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Minor concentrations: Cognitive Science, Physics</w:t>
        <w:br/>
        <w:t>Phi Kappa Phi, Sigma Pi Sigma</w:t>
        <w:br/>
        <w:t>University Honors, Computer Science Honors, Mathematics Honors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Research Experience</w:t>
      </w:r>
    </w:p>
    <w:p>
      <w:pPr>
        <w:pStyle w:val="Normal"/>
        <w:ind w:left="1440" w:right="0" w:hanging="1440"/>
        <w:rPr/>
      </w:pPr>
      <w:r>
        <w:rPr>
          <w:rFonts w:cs="Times New Roman" w:ascii="Times New Roman" w:hAnsi="Times New Roman"/>
        </w:rPr>
        <w:t>2016 –</w:t>
        <w:tab/>
      </w:r>
      <w:r>
        <w:rPr>
          <w:rFonts w:cs="Times New Roman" w:ascii="Times New Roman" w:hAnsi="Times New Roman"/>
          <w:b/>
        </w:rPr>
        <w:t>Graduate Research Assistant</w:t>
      </w:r>
      <w:r>
        <w:rPr>
          <w:rFonts w:cs="Times New Roman" w:ascii="Times New Roman" w:hAnsi="Times New Roman"/>
        </w:rPr>
        <w:t>, Human-Computer Interaction Institute</w:t>
        <w:br/>
        <w:t>Carnegie Mellon University</w:t>
        <w:br/>
        <w:t>The MultiComp Lab</w:t>
      </w:r>
    </w:p>
    <w:p>
      <w:pPr>
        <w:pStyle w:val="Normal"/>
        <w:ind w:left="1440" w:right="0" w:hanging="1440"/>
        <w:rPr/>
      </w:pPr>
      <w:r>
        <w:rPr>
          <w:rFonts w:cs="Times New Roman" w:ascii="Times New Roman" w:hAnsi="Times New Roman"/>
        </w:rPr>
        <w:t>2015 – 2016</w:t>
        <w:tab/>
      </w:r>
      <w:r>
        <w:rPr>
          <w:rFonts w:cs="Times New Roman" w:ascii="Times New Roman" w:hAnsi="Times New Roman"/>
          <w:b/>
        </w:rPr>
        <w:t>Graduate Research Assistant</w:t>
      </w:r>
      <w:r>
        <w:rPr>
          <w:rFonts w:cs="Times New Roman" w:ascii="Times New Roman" w:hAnsi="Times New Roman"/>
        </w:rPr>
        <w:t>, Center for Educational Informatics</w:t>
        <w:br/>
        <w:t>North Carolina State University</w:t>
        <w:br/>
        <w:t>The LearnDialogue Group, The Intellimedia Group</w:t>
      </w:r>
    </w:p>
    <w:p>
      <w:pPr>
        <w:pStyle w:val="Normal"/>
        <w:ind w:left="1440" w:right="0" w:hanging="1440"/>
        <w:rPr/>
      </w:pPr>
      <w:r>
        <w:rPr>
          <w:rFonts w:cs="Times New Roman" w:ascii="Times New Roman" w:hAnsi="Times New Roman"/>
        </w:rPr>
        <w:t>2013 – 2015</w:t>
        <w:tab/>
      </w:r>
      <w:r>
        <w:rPr>
          <w:rFonts w:cs="Times New Roman" w:ascii="Times New Roman" w:hAnsi="Times New Roman"/>
          <w:b/>
        </w:rPr>
        <w:t>Undergraduate Researcher</w:t>
      </w:r>
      <w:r>
        <w:rPr>
          <w:rFonts w:cs="Times New Roman" w:ascii="Times New Roman" w:hAnsi="Times New Roman"/>
        </w:rPr>
        <w:t>, Center for Educational Informatics</w:t>
        <w:br/>
        <w:t>North Carolina State University</w:t>
        <w:br/>
        <w:t>The LearnDialogue Group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Research Interests</w:t>
      </w:r>
    </w:p>
    <w:p>
      <w:pPr>
        <w:pStyle w:val="Normal"/>
        <w:rPr/>
      </w:pPr>
      <w:r>
        <w:rPr>
          <w:rFonts w:cs="Times New Roman" w:ascii="Times New Roman" w:hAnsi="Times New Roman"/>
          <w:smallCaps/>
        </w:rPr>
        <w:t xml:space="preserve">Affective Computing, </w:t>
      </w:r>
      <w:r>
        <w:rPr>
          <w:rFonts w:cs="Times New Roman" w:ascii="Times New Roman" w:hAnsi="Times New Roman"/>
          <w:smallCaps/>
        </w:rPr>
        <w:t>Artificial Intelligence, Advanced Learning Technologies</w:t>
      </w:r>
    </w:p>
    <w:p>
      <w:pPr>
        <w:pStyle w:val="ListParagraph"/>
        <w:numPr>
          <w:ilvl w:val="0"/>
          <w:numId w:val="3"/>
        </w:numPr>
        <w:spacing w:before="0" w:after="160"/>
        <w:rPr/>
      </w:pPr>
      <w:r>
        <w:rPr>
          <w:rFonts w:cs="Times New Roman" w:ascii="Times New Roman" w:hAnsi="Times New Roman"/>
          <w:smallCaps/>
        </w:rPr>
        <w:t xml:space="preserve">Affective Computing: </w:t>
      </w:r>
      <w:r>
        <w:rPr>
          <w:rFonts w:cs="Times New Roman" w:ascii="Times New Roman" w:hAnsi="Times New Roman"/>
          <w:caps w:val="false"/>
          <w:smallCaps w:val="false"/>
        </w:rPr>
        <w:t xml:space="preserve">affective interfaces, cognitive-affective models, </w:t>
      </w:r>
      <w:r>
        <w:rPr>
          <w:rFonts w:cs="Times New Roman" w:ascii="Times New Roman" w:hAnsi="Times New Roman"/>
          <w:caps w:val="false"/>
          <w:smallCaps w:val="false"/>
        </w:rPr>
        <w:t>emotion and</w:t>
      </w:r>
      <w:r>
        <w:rPr>
          <w:rFonts w:cs="Times New Roman" w:ascii="Times New Roman" w:hAnsi="Times New Roman"/>
          <w:caps w:val="false"/>
          <w:smallCaps w:val="false"/>
        </w:rPr>
        <w:t xml:space="preserve"> </w:t>
      </w:r>
      <w:r>
        <w:rPr>
          <w:rFonts w:cs="Times New Roman" w:ascii="Times New Roman" w:hAnsi="Times New Roman"/>
          <w:caps w:val="false"/>
          <w:smallCaps w:val="false"/>
        </w:rPr>
        <w:t>affect recognition, social signal processing</w:t>
      </w:r>
    </w:p>
    <w:p>
      <w:pPr>
        <w:pStyle w:val="ListParagraph"/>
        <w:numPr>
          <w:ilvl w:val="0"/>
          <w:numId w:val="3"/>
        </w:numPr>
        <w:spacing w:before="0" w:after="160"/>
        <w:rPr/>
      </w:pPr>
      <w:r>
        <w:rPr>
          <w:rFonts w:cs="Times New Roman" w:ascii="Times New Roman" w:hAnsi="Times New Roman"/>
          <w:smallCaps/>
        </w:rPr>
        <w:t>Artificial Intelligence</w:t>
      </w:r>
      <w:r>
        <w:rPr>
          <w:rFonts w:cs="Times New Roman" w:ascii="Times New Roman" w:hAnsi="Times New Roman"/>
        </w:rPr>
        <w:t>: user modeling, AI &amp; education, multimodal behavior analysis</w:t>
      </w:r>
    </w:p>
    <w:p>
      <w:pPr>
        <w:pStyle w:val="ListParagraph"/>
        <w:numPr>
          <w:ilvl w:val="0"/>
          <w:numId w:val="3"/>
        </w:numPr>
        <w:spacing w:before="0" w:after="160"/>
        <w:rPr/>
      </w:pPr>
      <w:r>
        <w:rPr>
          <w:rFonts w:cs="Times New Roman" w:ascii="Times New Roman" w:hAnsi="Times New Roman"/>
          <w:smallCaps/>
        </w:rPr>
        <w:t>Advanced Learning Technologies</w:t>
      </w:r>
      <w:r>
        <w:rPr>
          <w:rFonts w:cs="Times New Roman" w:ascii="Times New Roman" w:hAnsi="Times New Roman"/>
        </w:rPr>
        <w:t xml:space="preserve">: intelligent tutoring systems, tutorial </w:t>
      </w:r>
      <w:r>
        <w:rPr>
          <w:rFonts w:cs="Times New Roman" w:ascii="Times New Roman" w:hAnsi="Times New Roman"/>
        </w:rPr>
        <w:t>interaction</w:t>
      </w:r>
      <w:r>
        <w:rPr>
          <w:rFonts w:cs="Times New Roman" w:ascii="Times New Roman" w:hAnsi="Times New Roman"/>
        </w:rPr>
        <w:t>, game-based learning environments</w:t>
      </w:r>
    </w:p>
    <w:p>
      <w:pPr>
        <w:pStyle w:val="ListParagraph"/>
        <w:numPr>
          <w:ilvl w:val="0"/>
          <w:numId w:val="0"/>
        </w:numPr>
        <w:spacing w:before="0" w:after="160"/>
        <w:ind w:left="1440" w:right="0" w:hanging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Honors and Awards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Outstanding Paper, Twenty-Fourth International Conference on User Modeling, Adaptation, and Personalization, 2016.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Exemplary Paper, Ninth International Conference on Educational Data Mining, 2016.</w:t>
      </w:r>
    </w:p>
    <w:p>
      <w:pPr>
        <w:pStyle w:val="ListParagraph"/>
        <w:numPr>
          <w:ilvl w:val="0"/>
          <w:numId w:val="1"/>
        </w:numPr>
        <w:spacing w:before="0" w:after="160"/>
        <w:rPr/>
      </w:pPr>
      <w:r>
        <w:rPr>
          <w:rFonts w:cs="Times New Roman" w:ascii="Times New Roman" w:hAnsi="Times New Roman"/>
        </w:rPr>
        <w:t xml:space="preserve">Best Paper Award, Twenty-Third </w:t>
      </w:r>
      <w:r>
        <w:rPr>
          <w:rFonts w:cs="Times New Roman" w:ascii="Times New Roman" w:hAnsi="Times New Roman"/>
        </w:rPr>
        <w:t xml:space="preserve">International </w:t>
      </w:r>
      <w:r>
        <w:rPr>
          <w:rFonts w:cs="Times New Roman" w:ascii="Times New Roman" w:hAnsi="Times New Roman"/>
        </w:rPr>
        <w:t>Conference on User Modeling, Adaptation, and Personalization, 2015.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National Science Foundation Graduate Research Fellowship, 2015.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North Carolina State University Department of Computer Science Senior Award for Scholarly Achievement, 2015.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Generation Google Scholarship, 2014.</w:t>
      </w:r>
    </w:p>
    <w:p>
      <w:pPr>
        <w:pStyle w:val="ListParagraph"/>
        <w:numPr>
          <w:ilvl w:val="0"/>
          <w:numId w:val="1"/>
        </w:numPr>
        <w:spacing w:before="0" w:after="160"/>
        <w:rPr/>
      </w:pPr>
      <w:r>
        <w:rPr>
          <w:rFonts w:cs="Times New Roman" w:ascii="Times New Roman" w:hAnsi="Times New Roman"/>
        </w:rPr>
        <w:t>Nort</w:t>
      </w:r>
      <w:r>
        <w:rPr>
          <w:rFonts w:cs="Times New Roman" w:ascii="Times New Roman" w:hAnsi="Times New Roman"/>
          <w:b w:val="false"/>
          <w:bCs w:val="false"/>
          <w:sz w:val="22"/>
          <w:szCs w:val="22"/>
        </w:rPr>
        <w:t>h Carolina Society of Information Management Scholarship, 2013, 2014.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  <w:b w:val="false"/>
          <w:b w:val="false"/>
          <w:bCs w:val="false"/>
          <w:sz w:val="22"/>
          <w:szCs w:val="22"/>
        </w:rPr>
      </w:pPr>
      <w:r>
        <w:rPr>
          <w:rFonts w:cs="Times New Roman" w:ascii="Times New Roman" w:hAnsi="Times New Roman"/>
          <w:b w:val="false"/>
          <w:bCs w:val="false"/>
          <w:sz w:val="22"/>
          <w:szCs w:val="22"/>
        </w:rPr>
        <w:t>Howard A. Petrea Endowed Scholarship in Mathematics, 2013.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Publications</w:t>
      </w:r>
    </w:p>
    <w:p>
      <w:pPr>
        <w:pStyle w:val="Normal"/>
        <w:rPr>
          <w:rFonts w:ascii="Times New Roman" w:hAnsi="Times New Roman" w:cs="Times New Roman"/>
          <w:b/>
          <w:b/>
          <w:sz w:val="24"/>
        </w:rPr>
      </w:pPr>
      <w:r>
        <w:rPr>
          <w:rFonts w:cs="Times New Roman" w:ascii="Times New Roman" w:hAnsi="Times New Roman"/>
          <w:b/>
          <w:sz w:val="24"/>
        </w:rPr>
        <w:t>2016</w:t>
      </w:r>
    </w:p>
    <w:p>
      <w:pPr>
        <w:pStyle w:val="ListParagraph"/>
        <w:numPr>
          <w:ilvl w:val="0"/>
          <w:numId w:val="2"/>
        </w:numPr>
        <w:spacing w:before="0" w:after="0"/>
        <w:jc w:val="both"/>
        <w:rPr/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J. Grafsgaard, K. Boyer, E. Wiebe, and J. Lester. Gender Differences in Facial Expressions of Affect During Learning. </w:t>
      </w:r>
      <w:r>
        <w:rPr>
          <w:rFonts w:cs="Times New Roman" w:ascii="Times New Roman" w:hAnsi="Times New Roman"/>
          <w:i/>
        </w:rPr>
        <w:t>Proceedings of the Twenty-Fourth International Conference on User Modeling, Adaptation, and Personalization (UMAP 2016)</w:t>
      </w:r>
      <w:r>
        <w:rPr>
          <w:rFonts w:cs="Times New Roman" w:ascii="Times New Roman" w:hAnsi="Times New Roman"/>
        </w:rPr>
        <w:t xml:space="preserve">, pp. 65–73, Halifax, Canada, 2016. (long paper, acceptance rate: 23.9%) </w:t>
      </w:r>
    </w:p>
    <w:p>
      <w:pPr>
        <w:pStyle w:val="ListParagraph"/>
        <w:spacing w:before="0" w:after="160"/>
        <w:ind w:left="720" w:right="0" w:firstLine="720"/>
        <w:jc w:val="both"/>
        <w:rPr>
          <w:rFonts w:ascii="Times New Roman" w:hAnsi="Times New Roman" w:cs="Times New Roman"/>
          <w:b/>
          <w:b/>
        </w:rPr>
      </w:pPr>
      <w:r>
        <w:rPr>
          <w:rFonts w:cs="Times New Roman" w:ascii="Times New Roman" w:hAnsi="Times New Roman"/>
          <w:b/>
        </w:rPr>
        <w:t>Outstanding Paper</w:t>
      </w:r>
    </w:p>
    <w:p>
      <w:pPr>
        <w:pStyle w:val="ListParagraph"/>
        <w:numPr>
          <w:ilvl w:val="0"/>
          <w:numId w:val="2"/>
        </w:numPr>
        <w:spacing w:before="0" w:after="0"/>
        <w:jc w:val="both"/>
        <w:rPr/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J. Wiggins, J. Grafsgaard, K. Boyer, E. Wiebe, and J. Lester. The Affective Impact of Tutor Questions: Predicting Frustration and Engagement. </w:t>
      </w:r>
      <w:r>
        <w:rPr>
          <w:rFonts w:cs="Times New Roman" w:ascii="Times New Roman" w:hAnsi="Times New Roman"/>
          <w:i/>
        </w:rPr>
        <w:t>Proceedings of the Ninth International Conference on Educational Data Mining (EDM 2016)</w:t>
      </w:r>
      <w:r>
        <w:rPr>
          <w:rFonts w:cs="Times New Roman" w:ascii="Times New Roman" w:hAnsi="Times New Roman"/>
        </w:rPr>
        <w:t xml:space="preserve">, pp. 247–254, Raleigh, North Carolina, 2016. (long paper, acceptance rate: 27.5%) </w:t>
      </w:r>
    </w:p>
    <w:p>
      <w:pPr>
        <w:pStyle w:val="ListParagraph"/>
        <w:spacing w:before="0" w:after="160"/>
        <w:ind w:left="720" w:right="0" w:firstLine="720"/>
        <w:jc w:val="both"/>
        <w:rPr>
          <w:rFonts w:ascii="Times New Roman" w:hAnsi="Times New Roman" w:cs="Times New Roman"/>
          <w:b/>
          <w:b/>
        </w:rPr>
      </w:pPr>
      <w:r>
        <w:rPr>
          <w:rFonts w:cs="Times New Roman" w:ascii="Times New Roman" w:hAnsi="Times New Roman"/>
          <w:b/>
        </w:rPr>
        <w:t>Exemplary Paper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/>
      </w:pPr>
      <w:r>
        <w:rPr>
          <w:rFonts w:cs="Times New Roman" w:ascii="Times New Roman" w:hAnsi="Times New Roman"/>
        </w:rPr>
        <w:t xml:space="preserve">W. Min, J. Wiggins, L. Pezzullo, </w:t>
      </w: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K. Boyer, B. Mott, M. Frankosky, E. Wiebe, and J. Lester. Predicting Dialogue Acts for Intelligent Virtual Agents with Multimodal Student Interaction Data. </w:t>
      </w:r>
      <w:r>
        <w:rPr>
          <w:rFonts w:cs="Times New Roman" w:ascii="Times New Roman" w:hAnsi="Times New Roman"/>
          <w:i/>
        </w:rPr>
        <w:t>Proceedings of the Ninth International Conference on Educational Data Mining (EDM 2016)</w:t>
      </w:r>
      <w:r>
        <w:rPr>
          <w:rFonts w:cs="Times New Roman" w:ascii="Times New Roman" w:hAnsi="Times New Roman"/>
        </w:rPr>
        <w:t>, pp. 454–459, Raleigh, North Carolina, 2016. (short paper, acceptance rate: 52%)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/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J. Grafsgaard, K. Boyer, E. Wiebe, and J. Lester. Predicting Learning from Student Affective Response to Tutor Questions. </w:t>
      </w:r>
      <w:r>
        <w:rPr>
          <w:rFonts w:cs="Times New Roman" w:ascii="Times New Roman" w:hAnsi="Times New Roman"/>
          <w:i/>
        </w:rPr>
        <w:t>Proceedings of the Thirteenth International Conference on Intelligent Tutoring Systems (ITS 2016)</w:t>
      </w:r>
      <w:r>
        <w:rPr>
          <w:rFonts w:cs="Times New Roman" w:ascii="Times New Roman" w:hAnsi="Times New Roman"/>
        </w:rPr>
        <w:t>, pp. 154–164, Zagreb, Croatia, 2016. (long paper, acceptance rate: 15%)</w:t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4"/>
        </w:rPr>
      </w:pPr>
      <w:r>
        <w:rPr>
          <w:rFonts w:cs="Times New Roman" w:ascii="Times New Roman" w:hAnsi="Times New Roman"/>
          <w:b/>
          <w:sz w:val="24"/>
        </w:rPr>
        <w:t>2015</w:t>
      </w:r>
    </w:p>
    <w:p>
      <w:pPr>
        <w:pStyle w:val="ListParagraph"/>
        <w:numPr>
          <w:ilvl w:val="0"/>
          <w:numId w:val="2"/>
        </w:numPr>
        <w:spacing w:before="0" w:after="0"/>
        <w:jc w:val="both"/>
        <w:rPr/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K. Boyer, E. Wiebe, and J. Lester. The Mars and Venus Effect: The Influence of User Gender on the Effectiveness of Adaptive Task Support. </w:t>
      </w:r>
      <w:r>
        <w:rPr>
          <w:rFonts w:cs="Times New Roman" w:ascii="Times New Roman" w:hAnsi="Times New Roman"/>
          <w:i/>
        </w:rPr>
        <w:t>Proceedings of the Twenty-Third International Conference on User Modeling, Adaptation, and Personalization (UMAP 2015)</w:t>
      </w:r>
      <w:r>
        <w:rPr>
          <w:rFonts w:cs="Times New Roman" w:ascii="Times New Roman" w:hAnsi="Times New Roman"/>
        </w:rPr>
        <w:t>, pp. 216–227, Dublin, Ireland, 2015. (long paper, acceptance rate: 28%)</w:t>
      </w:r>
    </w:p>
    <w:p>
      <w:pPr>
        <w:pStyle w:val="ListParagraph"/>
        <w:spacing w:before="0" w:after="160"/>
        <w:ind w:left="720" w:right="0" w:firstLine="720"/>
        <w:jc w:val="both"/>
        <w:rPr>
          <w:rFonts w:ascii="Times New Roman" w:hAnsi="Times New Roman" w:cs="Times New Roman"/>
          <w:b/>
          <w:b/>
        </w:rPr>
      </w:pPr>
      <w:r>
        <w:rPr>
          <w:rFonts w:cs="Times New Roman" w:ascii="Times New Roman" w:hAnsi="Times New Roman"/>
          <w:b/>
        </w:rPr>
        <w:t>Best Paper Award</w:t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4"/>
        </w:rPr>
      </w:pPr>
      <w:r>
        <w:rPr>
          <w:rFonts w:cs="Times New Roman" w:ascii="Times New Roman" w:hAnsi="Times New Roman"/>
          <w:b/>
          <w:sz w:val="24"/>
        </w:rPr>
        <w:t>2014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/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J. Grafsgaard, J. Wiggins, J. Lester, and K. Boyer. Predicting Learning and Engagement in Tutorial Dialogue: A Personality-Based Model. </w:t>
      </w:r>
      <w:r>
        <w:rPr>
          <w:rFonts w:cs="Times New Roman" w:ascii="Times New Roman" w:hAnsi="Times New Roman"/>
          <w:i/>
        </w:rPr>
        <w:t>Proceedings of the Sixteenth ACM International Conference on Multimodal Interaction (ICMI 2014)</w:t>
      </w:r>
      <w:r>
        <w:rPr>
          <w:rFonts w:cs="Times New Roman" w:ascii="Times New Roman" w:hAnsi="Times New Roman"/>
        </w:rPr>
        <w:t>, pp. 255–262, Istanbul, Turkey, 2014. (long paper, acceptance rate: 39%)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/>
      </w:pPr>
      <w:r>
        <w:rPr>
          <w:rFonts w:cs="Times New Roman" w:ascii="Times New Roman" w:hAnsi="Times New Roman"/>
        </w:rPr>
        <w:t xml:space="preserve">J. Grafsgaard, J. Wiggins, </w:t>
      </w: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K. Boyer, E. Wiebe, and J. Lester. The Additive Value of Multimodal Features for Predicting Engagement, Frustration, and Learning During Tutoring. </w:t>
      </w:r>
      <w:r>
        <w:rPr>
          <w:rFonts w:cs="Times New Roman" w:ascii="Times New Roman" w:hAnsi="Times New Roman"/>
          <w:i/>
        </w:rPr>
        <w:t>Proceedings of the Sixteenth ACM International Conference on Multimodal Interaction (ICMI 2014)</w:t>
      </w:r>
      <w:r>
        <w:rPr>
          <w:rFonts w:cs="Times New Roman" w:ascii="Times New Roman" w:hAnsi="Times New Roman"/>
        </w:rPr>
        <w:t>, pp. 42–49, Istanbul, Turkey, 2014. (long paper, acceptance rate: 39%)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/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 and K. Boyer. Adapting to Personality Over Time: Examining the Effectiveness of Dialogue Policy Progressions in Task-Oriented Interaction. </w:t>
      </w:r>
      <w:r>
        <w:rPr>
          <w:rFonts w:cs="Times New Roman" w:ascii="Times New Roman" w:hAnsi="Times New Roman"/>
          <w:i/>
        </w:rPr>
        <w:t>Proceedings of the Fifteenth Annual Meeting of the Special Interest Group on Discourse and Dialogue (SIGDIAL 2014)</w:t>
      </w:r>
      <w:r>
        <w:rPr>
          <w:rFonts w:cs="Times New Roman" w:ascii="Times New Roman" w:hAnsi="Times New Roman"/>
        </w:rPr>
        <w:t>, pp. 41–50, Philadelphia, Pennsylvania, 2014. (long paper, acceptance rate: 30%)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/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 and K. Boyer. Identifying Effective Moves in Tutoring: On the Refinement of Dialogue Act Annotation Schemes. </w:t>
      </w:r>
      <w:r>
        <w:rPr>
          <w:rFonts w:cs="Times New Roman" w:ascii="Times New Roman" w:hAnsi="Times New Roman"/>
          <w:i/>
        </w:rPr>
        <w:t>Proceedings of the Twelfth International Conference on Intelligent Tutoring Systems (ITS 2014)</w:t>
      </w:r>
      <w:r>
        <w:rPr>
          <w:rFonts w:cs="Times New Roman" w:ascii="Times New Roman" w:hAnsi="Times New Roman"/>
        </w:rPr>
        <w:t>, pp. 199–209, Honolulu, Hawaii, 2014. (long paper, acceptance rate: 17.5%)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Teaching Experience</w:t>
      </w:r>
    </w:p>
    <w:p>
      <w:pPr>
        <w:pStyle w:val="Normal"/>
        <w:rPr/>
      </w:pPr>
      <w:r>
        <w:rPr>
          <w:rFonts w:cs="Times New Roman" w:ascii="Times New Roman" w:hAnsi="Times New Roman"/>
        </w:rPr>
        <w:t>2013 – 2014</w:t>
        <w:tab/>
      </w:r>
      <w:r>
        <w:rPr>
          <w:rFonts w:cs="Times New Roman" w:ascii="Times New Roman" w:hAnsi="Times New Roman"/>
          <w:b/>
        </w:rPr>
        <w:t>Teaching Assistant</w:t>
      </w:r>
      <w:r>
        <w:rPr>
          <w:rFonts w:cs="Times New Roman" w:ascii="Times New Roman" w:hAnsi="Times New Roman"/>
        </w:rPr>
        <w:t>, North Carolina State University</w:t>
        <w:br/>
        <w:tab/>
        <w:tab/>
        <w:t>Department of Computer Science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ab/>
        <w:t>Fall 2013</w:t>
        <w:tab/>
        <w:t>CSC 226: Discrete Mathematics for Computer Scientists</w:t>
        <w:br/>
        <w:tab/>
        <w:tab/>
        <w:tab/>
        <w:tab/>
        <w:t>Dr. Tiffany Barnes</w:t>
        <w:br/>
        <w:tab/>
        <w:tab/>
        <w:tab/>
        <w:tab/>
        <w:t>~250 students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ab/>
        <w:t>Spring 2014</w:t>
        <w:tab/>
        <w:t>CSC 230: C and Software Tools</w:t>
        <w:br/>
        <w:tab/>
        <w:tab/>
        <w:tab/>
        <w:tab/>
        <w:t>Dr. Sarah Heckman</w:t>
        <w:br/>
        <w:tab/>
        <w:tab/>
        <w:tab/>
        <w:tab/>
        <w:t>~120 students</w:t>
      </w:r>
    </w:p>
    <w:p>
      <w:pPr>
        <w:pStyle w:val="Normal"/>
        <w:rPr>
          <w:b w:val="false"/>
          <w:b w:val="false"/>
          <w:bCs w:val="false"/>
          <w:sz w:val="22"/>
          <w:szCs w:val="22"/>
        </w:rPr>
      </w:pPr>
      <w:r>
        <w:rPr>
          <w:rFonts w:cs="Times New Roman" w:ascii="Times New Roman" w:hAnsi="Times New Roman"/>
          <w:b w:val="false"/>
          <w:bCs w:val="false"/>
          <w:sz w:val="22"/>
          <w:szCs w:val="22"/>
        </w:rPr>
        <w:t>2012 – 2013</w:t>
        <w:tab/>
      </w:r>
      <w:r>
        <w:rPr>
          <w:rFonts w:cs="Times New Roman" w:ascii="Times New Roman" w:hAnsi="Times New Roman"/>
          <w:b/>
          <w:bCs/>
          <w:sz w:val="22"/>
          <w:szCs w:val="22"/>
        </w:rPr>
        <w:t>Mathematics &amp; Physics Tutor</w:t>
      </w:r>
      <w:r>
        <w:rPr>
          <w:rFonts w:cs="Times New Roman" w:ascii="Times New Roman" w:hAnsi="Times New Roman"/>
          <w:b w:val="false"/>
          <w:bCs w:val="false"/>
          <w:sz w:val="22"/>
          <w:szCs w:val="22"/>
        </w:rPr>
        <w:t>, North Carolina State University</w:t>
        <w:br/>
        <w:tab/>
        <w:tab/>
        <w:t>College Reading &amp; Learning Association: Level II Advanced Tutor Certification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Relevant Coursework</w:t>
      </w:r>
    </w:p>
    <w:p>
      <w:pPr>
        <w:pStyle w:val="Normal"/>
        <w:rPr/>
      </w:pPr>
      <w:r>
        <w:rPr>
          <w:rFonts w:cs="Times New Roman" w:ascii="Times New Roman" w:hAnsi="Times New Roman"/>
          <w:b/>
          <w:sz w:val="28"/>
        </w:rPr>
        <w:tab/>
      </w:r>
      <w:r>
        <w:rPr>
          <w:rFonts w:cs="Times New Roman" w:ascii="Times New Roman" w:hAnsi="Times New Roman"/>
          <w:b/>
          <w:sz w:val="24"/>
        </w:rPr>
        <w:t>Graduate Coursework</w:t>
      </w:r>
    </w:p>
    <w:tbl>
      <w:tblPr>
        <w:tblW w:w="7488" w:type="dxa"/>
        <w:jc w:val="center"/>
        <w:tblInd w:w="0" w:type="dxa"/>
        <w:tblBorders/>
        <w:tblCellMar>
          <w:top w:w="0" w:type="dxa"/>
          <w:left w:w="128" w:type="dxa"/>
          <w:bottom w:w="0" w:type="dxa"/>
          <w:right w:w="108" w:type="dxa"/>
        </w:tblCellMar>
      </w:tblPr>
      <w:tblGrid>
        <w:gridCol w:w="3744"/>
        <w:gridCol w:w="3744"/>
      </w:tblGrid>
      <w:tr>
        <w:trPr/>
        <w:tc>
          <w:tcPr>
            <w:tcW w:w="3744" w:type="dxa"/>
            <w:tcBorders/>
            <w:shd w:fill="FFFFFF" w:val="clear"/>
          </w:tcPr>
          <w:p>
            <w:pPr>
              <w:pStyle w:val="Normal"/>
              <w:spacing w:lineRule="auto" w:line="240" w:before="0" w:after="0"/>
              <w:ind w:left="345" w:right="0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Spoken Dialogue Systems</w:t>
            </w:r>
          </w:p>
          <w:p>
            <w:pPr>
              <w:pStyle w:val="Normal"/>
              <w:spacing w:lineRule="auto" w:line="240" w:before="0" w:after="0"/>
              <w:ind w:left="345" w:right="0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Computational Applied Logic</w:t>
            </w:r>
          </w:p>
          <w:p>
            <w:pPr>
              <w:pStyle w:val="Normal"/>
              <w:spacing w:lineRule="auto" w:line="240" w:before="0" w:after="0"/>
              <w:ind w:left="345" w:right="0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Numerical Analysis I</w:t>
            </w:r>
          </w:p>
          <w:p>
            <w:pPr>
              <w:pStyle w:val="Normal"/>
              <w:spacing w:lineRule="auto" w:line="240" w:before="0" w:after="0"/>
              <w:ind w:left="345" w:right="0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Reasoning Under Uncertainty</w:t>
            </w:r>
          </w:p>
          <w:p>
            <w:pPr>
              <w:pStyle w:val="Normal"/>
              <w:spacing w:lineRule="auto" w:line="240" w:before="0" w:after="0"/>
              <w:ind w:left="345" w:right="0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Human Communication and Multimodal Computation</w:t>
            </w:r>
          </w:p>
        </w:tc>
        <w:tc>
          <w:tcPr>
            <w:tcW w:w="3744" w:type="dxa"/>
            <w:tcBorders/>
            <w:shd w:fill="FFFFFF" w:val="clear"/>
          </w:tcPr>
          <w:p>
            <w:pPr>
              <w:pStyle w:val="Normal"/>
              <w:spacing w:lineRule="auto" w:line="240" w:before="0" w:after="0"/>
              <w:ind w:left="345" w:right="0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Artificial Intelligence I, II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Software Engineering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Combinatorics I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Graph Theory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Automated Learning and Data Analysis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Process and Theory in HCI</w:t>
            </w:r>
          </w:p>
        </w:tc>
      </w:tr>
    </w:tbl>
    <w:p>
      <w:pPr>
        <w:pStyle w:val="Normal"/>
        <w:spacing w:before="240" w:after="1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ab/>
        <w:t>Undergraduate Coursework</w:t>
      </w:r>
    </w:p>
    <w:tbl>
      <w:tblPr>
        <w:tblW w:w="7488" w:type="dxa"/>
        <w:jc w:val="center"/>
        <w:tblInd w:w="0" w:type="dxa"/>
        <w:tblBorders/>
        <w:tblCellMar>
          <w:top w:w="0" w:type="dxa"/>
          <w:left w:w="128" w:type="dxa"/>
          <w:bottom w:w="0" w:type="dxa"/>
          <w:right w:w="108" w:type="dxa"/>
        </w:tblCellMar>
      </w:tblPr>
      <w:tblGrid>
        <w:gridCol w:w="3744"/>
        <w:gridCol w:w="3744"/>
      </w:tblGrid>
      <w:tr>
        <w:trPr/>
        <w:tc>
          <w:tcPr>
            <w:tcW w:w="3744" w:type="dxa"/>
            <w:tcBorders/>
            <w:shd w:fill="FFFFFF" w:val="clear"/>
          </w:tcPr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Computer Organization and Assembly Language for Computer Scientists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 and Software Tools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Concepts and Facilities of Operating Systems for Computer Scientists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Data Structures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Automata, Grammars, and Computability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Ethics in Computing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Artificial Intelligence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Technology &amp; American Culture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The Creative Process in Science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Self, Schooling, &amp; Social Order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College Tutoring</w:t>
            </w:r>
          </w:p>
        </w:tc>
        <w:tc>
          <w:tcPr>
            <w:tcW w:w="3744" w:type="dxa"/>
            <w:tcBorders/>
            <w:shd w:fill="FFFFFF" w:val="clear"/>
          </w:tcPr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Foundations of Advanced Mathematics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Calculus I, II, III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Applied Differential Equations I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Linear Algebra</w:t>
            </w:r>
          </w:p>
          <w:p>
            <w:pPr>
              <w:pStyle w:val="Normal"/>
              <w:tabs>
                <w:tab w:val="left" w:pos="1260" w:leader="none"/>
              </w:tabs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Modern Algebra for Mathematicians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Combinatorics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Probability and Statistics for Engineers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Mathematical Analysis I, II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Mathematics of Scientific Computing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Symbolic Logic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Language &amp; Linguistics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Cognitive Science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Psychology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right="0" w:hanging="342"/>
              <w:rPr>
                <w:rFonts w:ascii="Times New Roman" w:hAnsi="Times New Roman" w:cs="Times New Roman"/>
              </w:rPr>
            </w:pPr>
            <w:bookmarkStart w:id="0" w:name="_GoBack"/>
            <w:bookmarkEnd w:id="0"/>
            <w:r>
              <w:rPr>
                <w:rFonts w:cs="Times New Roman" w:ascii="Times New Roman" w:hAnsi="Times New Roman"/>
              </w:rPr>
              <w:t>Cognitive Processes</w:t>
            </w:r>
          </w:p>
        </w:tc>
      </w:tr>
    </w:tbl>
    <w:p>
      <w:pPr>
        <w:pStyle w:val="Normal"/>
        <w:spacing w:before="240" w:after="160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Professional Membership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Association for Computing Machinery (ACM).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Association for the Advancement of Affective Computing (AAAC).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International Artificial Intelligence in Education Society (IAIED).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Institute of Electrical and Electronics Engineers (IEEE).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International Educational Data Mining Society (IEDMS).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Students &amp; Technology in Academia, Research, and Service (STARS) Student Leadership Corps.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Mensa International.</w:t>
      </w:r>
    </w:p>
    <w:sectPr>
      <w:footerReference w:type="default" r:id="rId2"/>
      <w:type w:val="nextPage"/>
      <w:pgSz w:w="12240" w:h="15840"/>
      <w:pgMar w:left="1440" w:right="1440" w:header="0" w:top="1440" w:footer="720" w:bottom="1440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auto"/>
    <w:pitch w:val="default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right"/>
      <w:rPr/>
    </w:pPr>
    <w:r>
      <w:rPr>
        <w:rFonts w:cs="Times New Roman" w:ascii="Times New Roman" w:hAnsi="Times New Roman"/>
        <w:sz w:val="20"/>
        <w:szCs w:val="20"/>
      </w:rPr>
      <w:t xml:space="preserve">Updated </w:t>
    </w:r>
    <w:r>
      <w:rPr>
        <w:rFonts w:cs="Times New Roman" w:ascii="Times New Roman" w:hAnsi="Times New Roman"/>
        <w:sz w:val="20"/>
        <w:szCs w:val="20"/>
      </w:rPr>
      <w:fldChar w:fldCharType="begin"/>
    </w:r>
    <w:r>
      <w:instrText> DATE \@"d\ MMMM\ yyyy" </w:instrText>
    </w:r>
    <w:r>
      <w:fldChar w:fldCharType="separate"/>
    </w:r>
    <w:r>
      <w:t>14 April 2017</w:t>
    </w:r>
    <w:r>
      <w:fldChar w:fldCharType="end"/>
    </w:r>
    <w:r>
      <w:rPr>
        <w:rFonts w:cs="Times New Roman" w:ascii="Times New Roman" w:hAnsi="Times New Roman"/>
        <w:sz w:val="20"/>
        <w:szCs w:val="20"/>
      </w:rPr>
      <w:tab/>
      <w:tab/>
    </w:r>
    <w:r>
      <w:rPr>
        <w:rFonts w:cs="Times New Roman" w:ascii="Times New Roman" w:hAnsi="Times New Roman"/>
        <w:sz w:val="20"/>
        <w:szCs w:val="20"/>
      </w:rPr>
      <w:fldChar w:fldCharType="begin"/>
    </w:r>
    <w:r>
      <w:instrText> PAGE </w:instrText>
    </w:r>
    <w:r>
      <w:fldChar w:fldCharType="separate"/>
    </w:r>
    <w:r>
      <w:t>4</w:t>
    </w:r>
    <w:r>
      <w:fldChar w:fldCharType="end"/>
    </w:r>
    <w:r>
      <w:rPr>
        <w:rFonts w:cs="Times New Roman" w:ascii="Times New Roman" w:hAnsi="Times New Roman"/>
        <w:sz w:val="20"/>
        <w:szCs w:val="20"/>
      </w:rPr>
      <w:t>/</w:t>
    </w:r>
    <w:r>
      <w:rPr>
        <w:rFonts w:cs="Times New Roman" w:ascii="Times New Roman" w:hAnsi="Times New Roman"/>
        <w:sz w:val="20"/>
        <w:szCs w:val="20"/>
      </w:rPr>
      <w:fldChar w:fldCharType="begin"/>
    </w:r>
    <w:r>
      <w:instrText> NUMPAGES </w:instrText>
    </w:r>
    <w:r>
      <w:fldChar w:fldCharType="separate"/>
    </w:r>
    <w:r>
      <w:t>4</w:t>
    </w:r>
    <w: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20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Cs w:val="22"/>
        <w:lang w:val="en-US" w:eastAsia="en-US" w:bidi="ar-SA"/>
      </w:rPr>
    </w:rPrDefault>
    <w:pPrDefault>
      <w:pPr/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lineRule="auto" w:line="259" w:before="0" w:after="160"/>
      <w:jc w:val="left"/>
    </w:pPr>
    <w:rPr>
      <w:rFonts w:ascii="Calibri" w:hAnsi="Calibri" w:eastAsia="Calibri" w:cs="DejaVu Sans"/>
      <w:color w:val="00000A"/>
      <w:sz w:val="22"/>
      <w:szCs w:val="22"/>
      <w:lang w:val="en-US" w:eastAsia="en-US" w:bidi="ar-SA"/>
    </w:rPr>
  </w:style>
  <w:style w:type="character" w:styleId="DefaultParagraphFont">
    <w:name w:val="Default Paragraph Font"/>
    <w:qFormat/>
    <w:rPr/>
  </w:style>
  <w:style w:type="character" w:styleId="InternetLink">
    <w:name w:val="Internet Link"/>
    <w:basedOn w:val="DefaultParagraphFont"/>
    <w:rPr>
      <w:color w:val="0563C1"/>
      <w:u w:val="single"/>
    </w:rPr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character" w:styleId="Textexposedshow">
    <w:name w:val="text_exposed_show"/>
    <w:basedOn w:val="DefaultParagraphFont"/>
    <w:qFormat/>
    <w:rPr/>
  </w:style>
  <w:style w:type="character" w:styleId="ListLabel1">
    <w:name w:val="ListLabel 1"/>
    <w:qFormat/>
    <w:rPr>
      <w:rFonts w:cs="Courier New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Courier New"/>
    </w:rPr>
  </w:style>
  <w:style w:type="character" w:styleId="ListLabel5">
    <w:name w:val="ListLabel 5"/>
    <w:qFormat/>
    <w:rPr>
      <w:rFonts w:cs="Courier New"/>
    </w:rPr>
  </w:style>
  <w:style w:type="character" w:styleId="ListLabel6">
    <w:name w:val="ListLabel 6"/>
    <w:qFormat/>
    <w:rPr>
      <w:rFonts w:cs="Courier New"/>
    </w:rPr>
  </w:style>
  <w:style w:type="character" w:styleId="ListLabel7">
    <w:name w:val="ListLabel 7"/>
    <w:qFormat/>
    <w:rPr>
      <w:rFonts w:cs="Courier New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Courier New"/>
    </w:rPr>
  </w:style>
  <w:style w:type="character" w:styleId="ListLabel10">
    <w:name w:val="ListLabel 10"/>
    <w:qFormat/>
    <w:rPr>
      <w:rFonts w:ascii="Times New Roman" w:hAnsi="Times New Roman" w:cs="Symbol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Wingdings"/>
    </w:rPr>
  </w:style>
  <w:style w:type="character" w:styleId="ListLabel13">
    <w:name w:val="ListLabel 13"/>
    <w:qFormat/>
    <w:rPr>
      <w:rFonts w:cs="Symbol"/>
    </w:rPr>
  </w:style>
  <w:style w:type="character" w:styleId="ListLabel14">
    <w:name w:val="ListLabel 14"/>
    <w:qFormat/>
    <w:rPr>
      <w:rFonts w:cs="Courier New"/>
    </w:rPr>
  </w:style>
  <w:style w:type="character" w:styleId="ListLabel15">
    <w:name w:val="ListLabel 15"/>
    <w:qFormat/>
    <w:rPr>
      <w:rFonts w:cs="Wingdings"/>
    </w:rPr>
  </w:style>
  <w:style w:type="character" w:styleId="ListLabel16">
    <w:name w:val="ListLabel 16"/>
    <w:qFormat/>
    <w:rPr>
      <w:rFonts w:cs="Symbol"/>
    </w:rPr>
  </w:style>
  <w:style w:type="character" w:styleId="ListLabel17">
    <w:name w:val="ListLabel 17"/>
    <w:qFormat/>
    <w:rPr>
      <w:rFonts w:cs="Courier New"/>
    </w:rPr>
  </w:style>
  <w:style w:type="character" w:styleId="ListLabel18">
    <w:name w:val="ListLabel 18"/>
    <w:qFormat/>
    <w:rPr>
      <w:rFonts w:cs="Wingdings"/>
    </w:rPr>
  </w:style>
  <w:style w:type="character" w:styleId="ListLabel19">
    <w:name w:val="ListLabel 19"/>
    <w:qFormat/>
    <w:rPr>
      <w:rFonts w:ascii="Times New Roman" w:hAnsi="Times New Roman" w:cs="Symbol"/>
    </w:rPr>
  </w:style>
  <w:style w:type="character" w:styleId="ListLabel20">
    <w:name w:val="ListLabel 20"/>
    <w:qFormat/>
    <w:rPr>
      <w:rFonts w:cs="Courier New"/>
    </w:rPr>
  </w:style>
  <w:style w:type="character" w:styleId="ListLabel21">
    <w:name w:val="ListLabel 21"/>
    <w:qFormat/>
    <w:rPr>
      <w:rFonts w:cs="Wingdings"/>
    </w:rPr>
  </w:style>
  <w:style w:type="character" w:styleId="ListLabel22">
    <w:name w:val="ListLabel 22"/>
    <w:qFormat/>
    <w:rPr>
      <w:rFonts w:cs="Symbol"/>
    </w:rPr>
  </w:style>
  <w:style w:type="character" w:styleId="ListLabel23">
    <w:name w:val="ListLabel 23"/>
    <w:qFormat/>
    <w:rPr>
      <w:rFonts w:cs="Courier New"/>
    </w:rPr>
  </w:style>
  <w:style w:type="character" w:styleId="ListLabel24">
    <w:name w:val="ListLabel 24"/>
    <w:qFormat/>
    <w:rPr>
      <w:rFonts w:cs="Wingdings"/>
    </w:rPr>
  </w:style>
  <w:style w:type="character" w:styleId="ListLabel25">
    <w:name w:val="ListLabel 25"/>
    <w:qFormat/>
    <w:rPr>
      <w:rFonts w:cs="Symbol"/>
    </w:rPr>
  </w:style>
  <w:style w:type="character" w:styleId="ListLabel26">
    <w:name w:val="ListLabel 26"/>
    <w:qFormat/>
    <w:rPr>
      <w:rFonts w:cs="Courier New"/>
    </w:rPr>
  </w:style>
  <w:style w:type="character" w:styleId="ListLabel27">
    <w:name w:val="ListLabel 27"/>
    <w:qFormat/>
    <w:rPr>
      <w:rFonts w:cs="Wingdings"/>
    </w:rPr>
  </w:style>
  <w:style w:type="character" w:styleId="ListLabel28">
    <w:name w:val="ListLabel 28"/>
    <w:qFormat/>
    <w:rPr>
      <w:rFonts w:ascii="Times New Roman" w:hAnsi="Times New Roman" w:cs="Symbol"/>
    </w:rPr>
  </w:style>
  <w:style w:type="character" w:styleId="ListLabel29">
    <w:name w:val="ListLabel 29"/>
    <w:qFormat/>
    <w:rPr>
      <w:rFonts w:cs="Courier New"/>
    </w:rPr>
  </w:style>
  <w:style w:type="character" w:styleId="ListLabel30">
    <w:name w:val="ListLabel 30"/>
    <w:qFormat/>
    <w:rPr>
      <w:rFonts w:cs="Wingdings"/>
    </w:rPr>
  </w:style>
  <w:style w:type="character" w:styleId="ListLabel31">
    <w:name w:val="ListLabel 31"/>
    <w:qFormat/>
    <w:rPr>
      <w:rFonts w:cs="Symbol"/>
    </w:rPr>
  </w:style>
  <w:style w:type="character" w:styleId="ListLabel32">
    <w:name w:val="ListLabel 32"/>
    <w:qFormat/>
    <w:rPr>
      <w:rFonts w:cs="Courier New"/>
    </w:rPr>
  </w:style>
  <w:style w:type="character" w:styleId="ListLabel33">
    <w:name w:val="ListLabel 33"/>
    <w:qFormat/>
    <w:rPr>
      <w:rFonts w:cs="Wingdings"/>
    </w:rPr>
  </w:style>
  <w:style w:type="character" w:styleId="ListLabel34">
    <w:name w:val="ListLabel 34"/>
    <w:qFormat/>
    <w:rPr>
      <w:rFonts w:cs="Symbol"/>
    </w:rPr>
  </w:style>
  <w:style w:type="character" w:styleId="ListLabel35">
    <w:name w:val="ListLabel 35"/>
    <w:qFormat/>
    <w:rPr>
      <w:rFonts w:cs="Courier New"/>
    </w:rPr>
  </w:style>
  <w:style w:type="character" w:styleId="ListLabel36">
    <w:name w:val="ListLabel 36"/>
    <w:qFormat/>
    <w:rPr>
      <w:rFonts w:cs="Wingdings"/>
    </w:rPr>
  </w:style>
  <w:style w:type="character" w:styleId="ListLabel37">
    <w:name w:val="ListLabel 37"/>
    <w:qFormat/>
    <w:rPr>
      <w:rFonts w:ascii="Times New Roman" w:hAnsi="Times New Roman" w:cs="Symbol"/>
    </w:rPr>
  </w:style>
  <w:style w:type="character" w:styleId="ListLabel38">
    <w:name w:val="ListLabel 38"/>
    <w:qFormat/>
    <w:rPr>
      <w:rFonts w:cs="Courier New"/>
    </w:rPr>
  </w:style>
  <w:style w:type="character" w:styleId="ListLabel39">
    <w:name w:val="ListLabel 39"/>
    <w:qFormat/>
    <w:rPr>
      <w:rFonts w:cs="Wingdings"/>
    </w:rPr>
  </w:style>
  <w:style w:type="character" w:styleId="ListLabel40">
    <w:name w:val="ListLabel 40"/>
    <w:qFormat/>
    <w:rPr>
      <w:rFonts w:cs="Symbol"/>
    </w:rPr>
  </w:style>
  <w:style w:type="character" w:styleId="ListLabel41">
    <w:name w:val="ListLabel 41"/>
    <w:qFormat/>
    <w:rPr>
      <w:rFonts w:cs="Courier New"/>
    </w:rPr>
  </w:style>
  <w:style w:type="character" w:styleId="ListLabel42">
    <w:name w:val="ListLabel 42"/>
    <w:qFormat/>
    <w:rPr>
      <w:rFonts w:cs="Wingdings"/>
    </w:rPr>
  </w:style>
  <w:style w:type="character" w:styleId="ListLabel43">
    <w:name w:val="ListLabel 43"/>
    <w:qFormat/>
    <w:rPr>
      <w:rFonts w:cs="Symbol"/>
    </w:rPr>
  </w:style>
  <w:style w:type="character" w:styleId="ListLabel44">
    <w:name w:val="ListLabel 44"/>
    <w:qFormat/>
    <w:rPr>
      <w:rFonts w:cs="Courier New"/>
    </w:rPr>
  </w:style>
  <w:style w:type="character" w:styleId="ListLabel45">
    <w:name w:val="ListLabel 45"/>
    <w:qFormat/>
    <w:rPr>
      <w:rFonts w:cs="Wingdings"/>
    </w:rPr>
  </w:style>
  <w:style w:type="character" w:styleId="ListLabel46">
    <w:name w:val="ListLabel 46"/>
    <w:qFormat/>
    <w:rPr>
      <w:rFonts w:ascii="Times New Roman" w:hAnsi="Times New Roman" w:cs="Symbol"/>
    </w:rPr>
  </w:style>
  <w:style w:type="character" w:styleId="ListLabel47">
    <w:name w:val="ListLabel 47"/>
    <w:qFormat/>
    <w:rPr>
      <w:rFonts w:cs="Courier New"/>
    </w:rPr>
  </w:style>
  <w:style w:type="character" w:styleId="ListLabel48">
    <w:name w:val="ListLabel 48"/>
    <w:qFormat/>
    <w:rPr>
      <w:rFonts w:cs="Wingdings"/>
    </w:rPr>
  </w:style>
  <w:style w:type="character" w:styleId="ListLabel49">
    <w:name w:val="ListLabel 49"/>
    <w:qFormat/>
    <w:rPr>
      <w:rFonts w:cs="Symbol"/>
    </w:rPr>
  </w:style>
  <w:style w:type="character" w:styleId="ListLabel50">
    <w:name w:val="ListLabel 50"/>
    <w:qFormat/>
    <w:rPr>
      <w:rFonts w:cs="Courier New"/>
    </w:rPr>
  </w:style>
  <w:style w:type="character" w:styleId="ListLabel51">
    <w:name w:val="ListLabel 51"/>
    <w:qFormat/>
    <w:rPr>
      <w:rFonts w:cs="Wingdings"/>
    </w:rPr>
  </w:style>
  <w:style w:type="character" w:styleId="ListLabel52">
    <w:name w:val="ListLabel 52"/>
    <w:qFormat/>
    <w:rPr>
      <w:rFonts w:cs="Symbol"/>
    </w:rPr>
  </w:style>
  <w:style w:type="character" w:styleId="ListLabel53">
    <w:name w:val="ListLabel 53"/>
    <w:qFormat/>
    <w:rPr>
      <w:rFonts w:cs="Courier New"/>
    </w:rPr>
  </w:style>
  <w:style w:type="character" w:styleId="ListLabel54">
    <w:name w:val="ListLabel 54"/>
    <w:qFormat/>
    <w:rPr>
      <w:rFonts w:cs="Wingdings"/>
    </w:rPr>
  </w:style>
  <w:style w:type="character" w:styleId="ListLabel55">
    <w:name w:val="ListLabel 55"/>
    <w:qFormat/>
    <w:rPr>
      <w:rFonts w:ascii="Times New Roman" w:hAnsi="Times New Roman" w:cs="Symbol"/>
    </w:rPr>
  </w:style>
  <w:style w:type="character" w:styleId="ListLabel56">
    <w:name w:val="ListLabel 56"/>
    <w:qFormat/>
    <w:rPr>
      <w:rFonts w:cs="Courier New"/>
    </w:rPr>
  </w:style>
  <w:style w:type="character" w:styleId="ListLabel57">
    <w:name w:val="ListLabel 57"/>
    <w:qFormat/>
    <w:rPr>
      <w:rFonts w:cs="Wingdings"/>
    </w:rPr>
  </w:style>
  <w:style w:type="character" w:styleId="ListLabel58">
    <w:name w:val="ListLabel 58"/>
    <w:qFormat/>
    <w:rPr>
      <w:rFonts w:cs="Symbol"/>
    </w:rPr>
  </w:style>
  <w:style w:type="character" w:styleId="ListLabel59">
    <w:name w:val="ListLabel 59"/>
    <w:qFormat/>
    <w:rPr>
      <w:rFonts w:cs="Courier New"/>
    </w:rPr>
  </w:style>
  <w:style w:type="character" w:styleId="ListLabel60">
    <w:name w:val="ListLabel 60"/>
    <w:qFormat/>
    <w:rPr>
      <w:rFonts w:cs="Wingdings"/>
    </w:rPr>
  </w:style>
  <w:style w:type="character" w:styleId="ListLabel61">
    <w:name w:val="ListLabel 61"/>
    <w:qFormat/>
    <w:rPr>
      <w:rFonts w:cs="Symbol"/>
    </w:rPr>
  </w:style>
  <w:style w:type="character" w:styleId="ListLabel62">
    <w:name w:val="ListLabel 62"/>
    <w:qFormat/>
    <w:rPr>
      <w:rFonts w:cs="Courier New"/>
    </w:rPr>
  </w:style>
  <w:style w:type="character" w:styleId="ListLabel63">
    <w:name w:val="ListLabel 63"/>
    <w:qFormat/>
    <w:rPr>
      <w:rFonts w:cs="Wingdings"/>
    </w:rPr>
  </w:style>
  <w:style w:type="character" w:styleId="ListLabel64">
    <w:name w:val="ListLabel 64"/>
    <w:qFormat/>
    <w:rPr>
      <w:rFonts w:ascii="Times New Roman" w:hAnsi="Times New Roman" w:cs="Symbol"/>
    </w:rPr>
  </w:style>
  <w:style w:type="character" w:styleId="ListLabel65">
    <w:name w:val="ListLabel 65"/>
    <w:qFormat/>
    <w:rPr>
      <w:rFonts w:cs="Courier New"/>
    </w:rPr>
  </w:style>
  <w:style w:type="character" w:styleId="ListLabel66">
    <w:name w:val="ListLabel 66"/>
    <w:qFormat/>
    <w:rPr>
      <w:rFonts w:cs="Wingdings"/>
    </w:rPr>
  </w:style>
  <w:style w:type="character" w:styleId="ListLabel67">
    <w:name w:val="ListLabel 67"/>
    <w:qFormat/>
    <w:rPr>
      <w:rFonts w:cs="Symbol"/>
    </w:rPr>
  </w:style>
  <w:style w:type="character" w:styleId="ListLabel68">
    <w:name w:val="ListLabel 68"/>
    <w:qFormat/>
    <w:rPr>
      <w:rFonts w:cs="Courier New"/>
    </w:rPr>
  </w:style>
  <w:style w:type="character" w:styleId="ListLabel69">
    <w:name w:val="ListLabel 69"/>
    <w:qFormat/>
    <w:rPr>
      <w:rFonts w:cs="Wingdings"/>
    </w:rPr>
  </w:style>
  <w:style w:type="character" w:styleId="ListLabel70">
    <w:name w:val="ListLabel 70"/>
    <w:qFormat/>
    <w:rPr>
      <w:rFonts w:cs="Symbol"/>
    </w:rPr>
  </w:style>
  <w:style w:type="character" w:styleId="ListLabel71">
    <w:name w:val="ListLabel 71"/>
    <w:qFormat/>
    <w:rPr>
      <w:rFonts w:cs="Courier New"/>
    </w:rPr>
  </w:style>
  <w:style w:type="character" w:styleId="ListLabel72">
    <w:name w:val="ListLabel 72"/>
    <w:qFormat/>
    <w:rPr>
      <w:rFonts w:cs="Wingdings"/>
    </w:rPr>
  </w:style>
  <w:style w:type="character" w:styleId="ListLabel73">
    <w:name w:val="ListLabel 73"/>
    <w:qFormat/>
    <w:rPr>
      <w:rFonts w:ascii="Times New Roman" w:hAnsi="Times New Roman" w:cs="Symbol"/>
    </w:rPr>
  </w:style>
  <w:style w:type="character" w:styleId="ListLabel74">
    <w:name w:val="ListLabel 74"/>
    <w:qFormat/>
    <w:rPr>
      <w:rFonts w:cs="Courier New"/>
    </w:rPr>
  </w:style>
  <w:style w:type="character" w:styleId="ListLabel75">
    <w:name w:val="ListLabel 75"/>
    <w:qFormat/>
    <w:rPr>
      <w:rFonts w:cs="Wingdings"/>
    </w:rPr>
  </w:style>
  <w:style w:type="character" w:styleId="ListLabel76">
    <w:name w:val="ListLabel 76"/>
    <w:qFormat/>
    <w:rPr>
      <w:rFonts w:cs="Symbol"/>
    </w:rPr>
  </w:style>
  <w:style w:type="character" w:styleId="ListLabel77">
    <w:name w:val="ListLabel 77"/>
    <w:qFormat/>
    <w:rPr>
      <w:rFonts w:cs="Courier New"/>
    </w:rPr>
  </w:style>
  <w:style w:type="character" w:styleId="ListLabel78">
    <w:name w:val="ListLabel 78"/>
    <w:qFormat/>
    <w:rPr>
      <w:rFonts w:cs="Wingdings"/>
    </w:rPr>
  </w:style>
  <w:style w:type="character" w:styleId="ListLabel79">
    <w:name w:val="ListLabel 79"/>
    <w:qFormat/>
    <w:rPr>
      <w:rFonts w:cs="Symbol"/>
    </w:rPr>
  </w:style>
  <w:style w:type="character" w:styleId="ListLabel80">
    <w:name w:val="ListLabel 80"/>
    <w:qFormat/>
    <w:rPr>
      <w:rFonts w:cs="Courier New"/>
    </w:rPr>
  </w:style>
  <w:style w:type="character" w:styleId="ListLabel81">
    <w:name w:val="ListLabel 81"/>
    <w:qFormat/>
    <w:rPr>
      <w:rFonts w:cs="Wingdings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Source Han Sans CN Regular" w:cs="Lohit Devanagari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qFormat/>
    <w:pPr>
      <w:spacing w:before="0" w:after="160"/>
      <w:ind w:left="720" w:right="0" w:hanging="0"/>
      <w:contextualSpacing/>
    </w:pPr>
    <w:rPr/>
  </w:style>
  <w:style w:type="paragraph" w:styleId="Header">
    <w:name w:val="Header"/>
    <w:basedOn w:val="Normal"/>
    <w:pPr>
      <w:tabs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/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1756</TotalTime>
  <Application>LibreOffice/5.2.6.2$Linux_X86_64 LibreOffice_project/20$Build-2</Application>
  <Pages>4</Pages>
  <Words>977</Words>
  <Characters>6353</Characters>
  <CharactersWithSpaces>7231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2015-11-27T23:53:00Z</dcterms:created>
  <dc:creator>Alexandria Vail</dc:creator>
  <dc:description/>
  <dc:language>en-US</dc:language>
  <cp:lastModifiedBy/>
  <cp:lastPrinted>2016-12-09T17:38:00Z</cp:lastPrinted>
  <dcterms:modified xsi:type="dcterms:W3CDTF">2017-04-14T16:56:23Z</dcterms:modified>
  <cp:revision>68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