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24"/>
          <w:szCs w:val="24"/>
          <w:b w:val="1"/>
          <w:bCs w:val="1"/>
        </w:rPr>
        <w:t xml:space="preserve">Quarterly report month-month 2020</w:t>
      </w:r>
    </w:p>
    <w:p>
      <w:pPr>
        <w:jc w:val="center"/>
      </w:pPr>
      <w:r>
        <w:rPr>
          <w:sz w:val="24"/>
          <w:szCs w:val="24"/>
          <w:b w:val="1"/>
          <w:bCs w:val="1"/>
        </w:rPr>
        <w:t xml:space="preserve">Burkina Faso</w:t>
      </w:r>
    </w:p>
    <w:p/>
    <w:p/>
    <w:p>
      <w:pPr/>
      <w:r>
        <w:rPr>
          <w:sz w:val="24"/>
          <w:szCs w:val="24"/>
          <w:b w:val="1"/>
          <w:bCs w:val="1"/>
        </w:rPr>
        <w:t xml:space="preserve">Partnership Name: 2SCALE - Burkina Faso</w:t>
      </w:r>
    </w:p>
    <w:p>
      <w:pPr/>
      <w:r>
        <w:pict>
          <v:shape id="_x0000_s1006" type="#_x0000_t32" style="width:430pt; height:0pt; margin-left:0pt; margin-top:0pt; mso-position-horizontal:left; mso-position-vertical:top; mso-position-horizontal-relative:char; mso-position-vertical-relative:line;">
            <w10:wrap type="inline"/>
            <v:stroke weight="1pt"/>
          </v:shape>
        </w:pict>
      </w:r>
    </w:p>
    <w:p>
      <w:pPr>
        <w:pStyle w:val="Heading2"/>
      </w:pPr>
      <w:bookmarkStart w:id="1" w:name="_Toc1"/>
      <w:r>
        <w:t>Summary of the PPPs contribution to the UIIs</w:t>
      </w:r>
      <w:bookmarkEnd w:id="1"/>
    </w:p>
    <w:tbl>
      <w:tblGrid>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tblGrid>
      <w:tblPr>
        <w:tblStyle w:val="Rsr Table"/>
      </w:tblPr>
      <w:tr>
        <w:trPr/>
        <w:tc>
          <w:tcPr>
            <w:tcW w:w="350" w:type="dxa"/>
            <w:vAlign w:val="center"/>
            <w:vMerge w:val="restart"/>
          </w:tcPr>
          <w:p>
            <w:pPr/>
            <w:r>
              <w:rPr/>
              <w:t xml:space="preserve">UII-1 BoP</w:t>
            </w:r>
          </w:p>
        </w:tc>
        <w:tc>
          <w:tcPr>
            <w:tcW w:w="1400" w:type="dxa"/>
            <w:vAlign w:val="center"/>
            <w:gridSpan w:val="4"/>
          </w:tcPr>
          <w:p>
            <w:pPr>
              <w:jc w:val="center"/>
            </w:pPr>
            <w:r>
              <w:rPr/>
              <w:t xml:space="preserve">UII-2 SHF</w:t>
            </w:r>
          </w:p>
        </w:tc>
        <w:tc>
          <w:tcPr>
            <w:tcW w:w="350" w:type="dxa"/>
            <w:vAlign w:val="center"/>
            <w:vMerge w:val="restart"/>
          </w:tcPr>
          <w:p>
            <w:pPr/>
            <w:r>
              <w:rPr/>
              <w:t xml:space="preserve">UII-3 EEP</w:t>
            </w:r>
          </w:p>
        </w:tc>
        <w:tc>
          <w:tcPr>
            <w:tcW w:w="700" w:type="dxa"/>
            <w:vAlign w:val="center"/>
            <w:gridSpan w:val="2"/>
          </w:tcPr>
          <w:p>
            <w:pPr>
              <w:jc w:val="center"/>
            </w:pPr>
            <w:r>
              <w:rPr/>
              <w:t xml:space="preserve">UII-4 SME</w:t>
            </w:r>
          </w:p>
        </w:tc>
        <w:tc>
          <w:tcPr>
            <w:tcW w:w="1400" w:type="dxa"/>
            <w:vAlign w:val="center"/>
            <w:gridSpan w:val="4"/>
          </w:tcPr>
          <w:p>
            <w:pPr>
              <w:jc w:val="center"/>
            </w:pPr>
            <w:r>
              <w:rPr/>
              <w:t xml:space="preserve">UII-5 NonFE</w:t>
            </w:r>
          </w:p>
        </w:tc>
        <w:tc>
          <w:tcPr>
            <w:tcW w:w="1400" w:type="dxa"/>
            <w:vAlign w:val="center"/>
            <w:gridSpan w:val="4"/>
          </w:tcPr>
          <w:p>
            <w:pPr>
              <w:jc w:val="center"/>
            </w:pPr>
            <w:r>
              <w:rPr/>
              <w:t xml:space="preserve">UII-6 MSME</w:t>
            </w:r>
          </w:p>
        </w:tc>
        <w:tc>
          <w:tcPr>
            <w:tcW w:w="350" w:type="dxa"/>
            <w:vAlign w:val="center"/>
            <w:vMerge w:val="restart"/>
          </w:tcPr>
          <w:p>
            <w:pPr/>
            <w:r>
              <w:rPr/>
              <w:t xml:space="preserve">UII-7 INNO</w:t>
            </w:r>
          </w:p>
        </w:tc>
        <w:tc>
          <w:tcPr>
            <w:tcW w:w="3500" w:type="dxa"/>
            <w:vAlign w:val="center"/>
            <w:gridSpan w:val="10"/>
          </w:tcPr>
          <w:p>
            <w:pPr>
              <w:jc w:val="center"/>
            </w:pPr>
            <w:r>
              <w:rPr/>
              <w:t xml:space="preserve">UII-8 FSERV</w:t>
            </w:r>
          </w:p>
        </w:tc>
      </w:tr>
      <w:tr>
        <w:trPr/>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M</w:t>
            </w:r>
          </w:p>
        </w:tc>
        <w:tc>
          <w:tcPr>
            <w:tcW w:w="350" w:type="dxa"/>
            <w:vAlign w:val="center"/>
          </w:tcPr>
          <w:p>
            <w:pPr>
              <w:jc w:val="center"/>
            </w:pPr>
            <w:r>
              <w:rPr/>
              <w:t xml:space="preserve">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M</w:t>
            </w:r>
          </w:p>
        </w:tc>
        <w:tc>
          <w:tcPr>
            <w:tcW w:w="350" w:type="dxa"/>
            <w:vAlign w:val="center"/>
          </w:tcPr>
          <w:p>
            <w:pPr>
              <w:jc w:val="center"/>
            </w:pPr>
            <w:r>
              <w:rPr/>
              <w:t xml:space="preserve">F</w:t>
            </w:r>
          </w:p>
        </w:tc>
      </w:tr>
      <w:tr>
        <w:trPr/>
        <w:tc>
          <w:tcPr>
            <w:tcW w:w="1000" w:type="dxa"/>
          </w:tcPr>
          <w:p>
            <w:pPr/>
            <w:r>
              <w:rPr/>
              <w:t xml:space="preserve">29714</w:t>
            </w:r>
          </w:p>
        </w:tc>
        <w:tc>
          <w:tcPr>
            <w:tcW w:w="700" w:type="dxa"/>
            <w:vAlign w:val="center"/>
          </w:tcPr>
          <w:p>
            <w:pPr>
              <w:jc w:val="center"/>
            </w:pPr>
            <w:r>
              <w:rPr/>
              <w:t xml:space="preserve">2258</w:t>
            </w:r>
          </w:p>
        </w:tc>
        <w:tc>
          <w:tcPr>
            <w:tcW w:w="700" w:type="dxa"/>
            <w:vAlign w:val="center"/>
          </w:tcPr>
          <w:p>
            <w:pPr>
              <w:jc w:val="center"/>
            </w:pPr>
            <w:r>
              <w:rPr/>
              <w:t xml:space="preserve">4225</w:t>
            </w:r>
          </w:p>
        </w:tc>
        <w:tc>
          <w:tcPr>
            <w:tcW w:w="700" w:type="dxa"/>
            <w:vAlign w:val="center"/>
          </w:tcPr>
          <w:p>
            <w:pPr>
              <w:jc w:val="center"/>
            </w:pPr>
            <w:r>
              <w:rPr/>
              <w:t xml:space="preserve">2414</w:t>
            </w:r>
          </w:p>
        </w:tc>
        <w:tc>
          <w:tcPr>
            <w:tcW w:w="700" w:type="dxa"/>
            <w:vAlign w:val="center"/>
          </w:tcPr>
          <w:p>
            <w:pPr>
              <w:jc w:val="center"/>
            </w:pPr>
            <w:r>
              <w:rPr/>
              <w:t xml:space="preserve">3335</w:t>
            </w:r>
          </w:p>
        </w:tc>
        <w:tc>
          <w:tcPr>
            <w:tcW w:w="1000" w:type="dxa"/>
          </w:tcPr>
          <w:p>
            <w:pPr/>
            <w:r>
              <w:rPr/>
              <w:t xml:space="preserve">2755</w:t>
            </w:r>
          </w:p>
        </w:tc>
        <w:tc>
          <w:tcPr>
            <w:tcW w:w="700" w:type="dxa"/>
            <w:vAlign w:val="center"/>
          </w:tcPr>
          <w:p>
            <w:pPr>
              <w:jc w:val="center"/>
            </w:pPr>
            <w:r>
              <w:rPr/>
              <w:t xml:space="preserve">6</w:t>
            </w:r>
          </w:p>
        </w:tc>
        <w:tc>
          <w:tcPr>
            <w:tcW w:w="700" w:type="dxa"/>
            <w:vAlign w:val="center"/>
          </w:tcPr>
          <w:p>
            <w:pPr>
              <w:jc w:val="center"/>
            </w:pPr>
            <w:r>
              <w:rPr/>
              <w:t xml:space="preserve">4</w:t>
            </w:r>
          </w:p>
        </w:tc>
        <w:tc>
          <w:tcPr>
            <w:tcW w:w="700" w:type="dxa"/>
            <w:vAlign w:val="center"/>
          </w:tcPr>
          <w:p>
            <w:pPr>
              <w:jc w:val="center"/>
            </w:pPr>
            <w:r>
              <w:rPr/>
              <w:t xml:space="preserve">18</w:t>
            </w:r>
          </w:p>
        </w:tc>
        <w:tc>
          <w:tcPr>
            <w:tcW w:w="700" w:type="dxa"/>
            <w:vAlign w:val="center"/>
          </w:tcPr>
          <w:p>
            <w:pPr>
              <w:jc w:val="center"/>
            </w:pPr>
            <w:r>
              <w:rPr/>
              <w:t xml:space="preserve">30</w:t>
            </w:r>
          </w:p>
        </w:tc>
        <w:tc>
          <w:tcPr>
            <w:tcW w:w="700" w:type="dxa"/>
            <w:vAlign w:val="center"/>
          </w:tcPr>
          <w:p>
            <w:pPr>
              <w:jc w:val="center"/>
            </w:pPr>
            <w:r>
              <w:rPr/>
              <w:t xml:space="preserve">23</w:t>
            </w:r>
          </w:p>
        </w:tc>
        <w:tc>
          <w:tcPr>
            <w:tcW w:w="700" w:type="dxa"/>
            <w:vAlign w:val="center"/>
          </w:tcPr>
          <w:p>
            <w:pPr>
              <w:jc w:val="center"/>
            </w:pPr>
            <w:r>
              <w:rPr/>
              <w:t xml:space="preserve">97</w:t>
            </w:r>
          </w:p>
        </w:tc>
        <w:tc>
          <w:tcPr>
            <w:tcW w:w="700" w:type="dxa"/>
            <w:vAlign w:val="center"/>
          </w:tcPr>
          <w:p>
            <w:pPr>
              <w:jc w:val="center"/>
            </w:pPr>
            <w:r>
              <w:rPr/>
              <w:t xml:space="preserve">15</w:t>
            </w:r>
          </w:p>
        </w:tc>
        <w:tc>
          <w:tcPr>
            <w:tcW w:w="700" w:type="dxa"/>
            <w:vAlign w:val="center"/>
          </w:tcPr>
          <w:p>
            <w:pPr>
              <w:jc w:val="center"/>
            </w:pPr>
            <w:r>
              <w:rPr/>
              <w:t xml:space="preserve">277</w:t>
            </w:r>
          </w:p>
        </w:tc>
        <w:tc>
          <w:tcPr>
            <w:tcW w:w="700" w:type="dxa"/>
            <w:vAlign w:val="center"/>
          </w:tcPr>
          <w:p>
            <w:pPr>
              <w:jc w:val="center"/>
            </w:pPr>
            <w:r>
              <w:rPr/>
              <w:t xml:space="preserve">11</w:t>
            </w:r>
          </w:p>
        </w:tc>
        <w:tc>
          <w:tcPr>
            <w:tcW w:w="700" w:type="dxa"/>
            <w:vAlign w:val="center"/>
          </w:tcPr>
          <w:p>
            <w:pPr>
              <w:jc w:val="center"/>
            </w:pPr>
            <w:r>
              <w:rPr/>
              <w:t xml:space="preserve">25</w:t>
            </w:r>
          </w:p>
        </w:tc>
        <w:tc>
          <w:tcPr>
            <w:tcW w:w="1000" w:type="dxa"/>
          </w:tcPr>
          <w:p>
            <w:pPr/>
            <w:r>
              <w:rPr/>
              <w:t xml:space="preserve">3</w:t>
            </w:r>
          </w:p>
        </w:tc>
        <w:tc>
          <w:tcPr>
            <w:tcW w:w="700" w:type="dxa"/>
            <w:vAlign w:val="center"/>
          </w:tcPr>
          <w:p>
            <w:pPr>
              <w:jc w:val="center"/>
            </w:pPr>
            <w:r>
              <w:rPr/>
              <w:t xml:space="preserve">663</w:t>
            </w:r>
          </w:p>
        </w:tc>
        <w:tc>
          <w:tcPr>
            <w:tcW w:w="700" w:type="dxa"/>
            <w:vAlign w:val="center"/>
          </w:tcPr>
          <w:p>
            <w:pPr>
              <w:jc w:val="center"/>
            </w:pPr>
            <w:r>
              <w:rPr/>
              <w:t xml:space="preserve">300</w:t>
            </w:r>
          </w:p>
        </w:tc>
        <w:tc>
          <w:tcPr>
            <w:tcW w:w="700" w:type="dxa"/>
            <w:vAlign w:val="center"/>
          </w:tcPr>
          <w:p>
            <w:pPr>
              <w:jc w:val="center"/>
            </w:pPr>
            <w:r>
              <w:rPr/>
              <w:t xml:space="preserve">2159</w:t>
            </w:r>
          </w:p>
        </w:tc>
        <w:tc>
          <w:tcPr>
            <w:tcW w:w="700" w:type="dxa"/>
            <w:vAlign w:val="center"/>
          </w:tcPr>
          <w:p>
            <w:pPr>
              <w:jc w:val="center"/>
            </w:pPr>
            <w:r>
              <w:rPr/>
              <w:t xml:space="preserve">900</w:t>
            </w:r>
          </w:p>
        </w:tc>
        <w:tc>
          <w:tcPr>
            <w:tcW w:w="700" w:type="dxa"/>
            <w:vAlign w:val="center"/>
          </w:tcPr>
          <w:p>
            <w:pPr>
              <w:jc w:val="center"/>
            </w:pPr>
            <w:r>
              <w:rPr/>
              <w:t xml:space="preserve">7</w:t>
            </w:r>
          </w:p>
        </w:tc>
        <w:tc>
          <w:tcPr>
            <w:tcW w:w="700" w:type="dxa"/>
            <w:vAlign w:val="center"/>
          </w:tcPr>
          <w:p>
            <w:pPr>
              <w:jc w:val="center"/>
            </w:pPr>
            <w:r>
              <w:rPr/>
              <w:t xml:space="preserve">26</w:t>
            </w:r>
          </w:p>
        </w:tc>
        <w:tc>
          <w:tcPr>
            <w:tcW w:w="700" w:type="dxa"/>
            <w:vAlign w:val="center"/>
          </w:tcPr>
          <w:p>
            <w:pPr>
              <w:jc w:val="center"/>
            </w:pPr>
            <w:r>
              <w:rPr/>
              <w:t xml:space="preserve">1</w:t>
            </w:r>
          </w:p>
        </w:tc>
        <w:tc>
          <w:tcPr>
            <w:tcW w:w="700" w:type="dxa"/>
            <w:vAlign w:val="center"/>
          </w:tcPr>
          <w:p>
            <w:pPr>
              <w:jc w:val="center"/>
            </w:pPr>
            <w:r>
              <w:rPr/>
              <w:t xml:space="preserve">14</w:t>
            </w:r>
          </w:p>
        </w:tc>
        <w:tc>
          <w:tcPr>
            <w:tcW w:w="700" w:type="dxa"/>
            <w:vAlign w:val="center"/>
          </w:tcPr>
          <w:p>
            <w:pPr>
              <w:jc w:val="center"/>
            </w:pPr>
            <w:r>
              <w:rPr/>
              <w:t xml:space="preserve">2</w:t>
            </w:r>
          </w:p>
        </w:tc>
        <w:tc>
          <w:tcPr>
            <w:tcW w:w="700" w:type="dxa"/>
            <w:vAlign w:val="center"/>
          </w:tcPr>
          <w:p>
            <w:pPr>
              <w:jc w:val="center"/>
            </w:pPr>
            <w:r>
              <w:rPr/>
              <w:t xml:space="preserve">1</w:t>
            </w:r>
          </w:p>
        </w:tc>
      </w:tr>
    </w:tbl>
    <w:p/>
    <w:p/>
    <w:p>
      <w:pPr>
        <w:pStyle w:val="Heading2"/>
      </w:pPr>
      <w:bookmarkStart w:id="2" w:name="_Toc2"/>
      <w:r>
        <w:t>Incubating inclusive model</w:t>
      </w:r>
      <w:bookmarkEnd w:id="2"/>
    </w:p>
    <w:p>
      <w:pPr>
        <w:jc w:val="both"/>
      </w:pPr>
      <w:r>
        <w:rPr/>
        <w:t xml:space="preserve">Lorem ipsum dolor sit amet, consectetur adipiscing elit. Ut ut feugiat tortor. Nullam risus felis, ultrices et feugiat a, elementum a odio. Nam tempor, sapien sit amet iaculis commodo, nibh diam venenatis dolor, et semper ante lorem et nibh. Praesent vitae velit sed eros sollicitudin accumsan sit amet eget magna. Ut malesuada ante eu arcu sollicitudin fermentum. Nam vulputate, lectus tempor accumsan placerat, velit libero posuere purus, sed tempus enim nisi ac lorem. Donec ornare justo elit, a vestibulum ipsum consequat id.</w:t>
      </w:r>
    </w:p>
    <w:p/>
    <w:p>
      <w:pPr>
        <w:pStyle w:val="Heading3"/>
      </w:pPr>
      <w:bookmarkStart w:id="3" w:name="_Toc3"/>
      <w:r>
        <w:t>Govern and adopt inclusive agribusiness partnership</w:t>
      </w:r>
      <w:bookmarkEnd w:id="3"/>
    </w:p>
    <w:p>
      <w:pPr>
        <w:pStyle w:val="Heading3"/>
      </w:pPr>
      <w:bookmarkStart w:id="4" w:name="_Toc4"/>
      <w:r>
        <w:t>Improve access to nutritional food for the BoP consumer</w:t>
      </w:r>
      <w:bookmarkEnd w:id="4"/>
    </w:p>
    <w:p>
      <w:pPr>
        <w:pStyle w:val="Heading3"/>
      </w:pPr>
      <w:bookmarkStart w:id="5" w:name="_Toc5"/>
      <w:r>
        <w:t>Foster competitiveness and inclusiveness of the food value chain </w:t>
      </w:r>
      <w:bookmarkEnd w:id="5"/>
    </w:p>
    <w:p>
      <w:pPr>
        <w:pStyle w:val="Heading3"/>
      </w:pPr>
      <w:bookmarkStart w:id="6" w:name="_Toc6"/>
      <w:r>
        <w:t>Professionalize Agribusiness Clusters</w:t>
      </w:r>
      <w:bookmarkEnd w:id="6"/>
    </w:p>
    <w:p>
      <w:pPr>
        <w:pStyle w:val="Heading3"/>
      </w:pPr>
      <w:bookmarkStart w:id="7" w:name="_Toc7"/>
      <w:r>
        <w:t>Strengthen the enabling agribusiness environment</w:t>
      </w:r>
      <w:bookmarkEnd w:id="7"/>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Quarterly report month-month 2020</w:t>
      </w:r>
    </w:p>
    <w:p>
      <w:pPr>
        <w:jc w:val="center"/>
      </w:pPr>
      <w:r>
        <w:rPr>
          <w:sz w:val="24"/>
          <w:szCs w:val="24"/>
          <w:b w:val="1"/>
          <w:bCs w:val="1"/>
        </w:rPr>
        <w:t xml:space="preserve">Burkina Faso</w:t>
      </w:r>
    </w:p>
    <w:p/>
    <w:p/>
    <w:p>
      <w:pPr/>
      <w:r>
        <w:rPr>
          <w:sz w:val="24"/>
          <w:szCs w:val="24"/>
          <w:b w:val="1"/>
          <w:bCs w:val="1"/>
        </w:rPr>
        <w:t xml:space="preserve">Partnership Name: BF21_Cassava_Nanalim</w:t>
      </w:r>
    </w:p>
    <w:p>
      <w:pPr/>
      <w:r>
        <w:pict>
          <v:shape id="_x0000_s1006" type="#_x0000_t32" style="width:430pt; height:0pt; margin-left:0pt; margin-top:0pt; mso-position-horizontal:left; mso-position-vertical:top; mso-position-horizontal-relative:char; mso-position-vertical-relative:line;">
            <w10:wrap type="inline"/>
            <v:stroke weight="1pt"/>
          </v:shape>
        </w:pict>
      </w:r>
    </w:p>
    <w:p>
      <w:pPr>
        <w:pStyle w:val="Heading2"/>
      </w:pPr>
      <w:bookmarkStart w:id="8" w:name="_Toc8"/>
      <w:r>
        <w:t>Summary of the PPPs contribution to the UIIs</w:t>
      </w:r>
      <w:bookmarkEnd w:id="8"/>
    </w:p>
    <w:tbl>
      <w:tblGrid>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tblGrid>
      <w:tblPr>
        <w:tblStyle w:val="Rsr Table"/>
      </w:tblPr>
      <w:tr>
        <w:trPr/>
        <w:tc>
          <w:tcPr>
            <w:tcW w:w="350" w:type="dxa"/>
            <w:vAlign w:val="center"/>
            <w:vMerge w:val="restart"/>
          </w:tcPr>
          <w:p>
            <w:pPr/>
            <w:r>
              <w:rPr/>
              <w:t xml:space="preserve">UII-1 BoP</w:t>
            </w:r>
          </w:p>
        </w:tc>
        <w:tc>
          <w:tcPr>
            <w:tcW w:w="1400" w:type="dxa"/>
            <w:vAlign w:val="center"/>
            <w:gridSpan w:val="4"/>
          </w:tcPr>
          <w:p>
            <w:pPr>
              <w:jc w:val="center"/>
            </w:pPr>
            <w:r>
              <w:rPr/>
              <w:t xml:space="preserve">UII-2 SHF</w:t>
            </w:r>
          </w:p>
        </w:tc>
        <w:tc>
          <w:tcPr>
            <w:tcW w:w="350" w:type="dxa"/>
            <w:vAlign w:val="center"/>
            <w:vMerge w:val="restart"/>
          </w:tcPr>
          <w:p>
            <w:pPr/>
            <w:r>
              <w:rPr/>
              <w:t xml:space="preserve">UII-3 EEP</w:t>
            </w:r>
          </w:p>
        </w:tc>
        <w:tc>
          <w:tcPr>
            <w:tcW w:w="700" w:type="dxa"/>
            <w:vAlign w:val="center"/>
            <w:gridSpan w:val="2"/>
          </w:tcPr>
          <w:p>
            <w:pPr>
              <w:jc w:val="center"/>
            </w:pPr>
            <w:r>
              <w:rPr/>
              <w:t xml:space="preserve">UII-4 SME</w:t>
            </w:r>
          </w:p>
        </w:tc>
        <w:tc>
          <w:tcPr>
            <w:tcW w:w="1400" w:type="dxa"/>
            <w:vAlign w:val="center"/>
            <w:gridSpan w:val="4"/>
          </w:tcPr>
          <w:p>
            <w:pPr>
              <w:jc w:val="center"/>
            </w:pPr>
            <w:r>
              <w:rPr/>
              <w:t xml:space="preserve">UII-5 NonFE</w:t>
            </w:r>
          </w:p>
        </w:tc>
        <w:tc>
          <w:tcPr>
            <w:tcW w:w="1400" w:type="dxa"/>
            <w:vAlign w:val="center"/>
            <w:gridSpan w:val="4"/>
          </w:tcPr>
          <w:p>
            <w:pPr>
              <w:jc w:val="center"/>
            </w:pPr>
            <w:r>
              <w:rPr/>
              <w:t xml:space="preserve">UII-6 MSME</w:t>
            </w:r>
          </w:p>
        </w:tc>
        <w:tc>
          <w:tcPr>
            <w:tcW w:w="350" w:type="dxa"/>
            <w:vAlign w:val="center"/>
            <w:vMerge w:val="restart"/>
          </w:tcPr>
          <w:p>
            <w:pPr/>
            <w:r>
              <w:rPr/>
              <w:t xml:space="preserve">UII-7 INNO</w:t>
            </w:r>
          </w:p>
        </w:tc>
        <w:tc>
          <w:tcPr>
            <w:tcW w:w="3500" w:type="dxa"/>
            <w:vAlign w:val="center"/>
            <w:gridSpan w:val="10"/>
          </w:tcPr>
          <w:p>
            <w:pPr>
              <w:jc w:val="center"/>
            </w:pPr>
            <w:r>
              <w:rPr/>
              <w:t xml:space="preserve">UII-8 FSERV</w:t>
            </w:r>
          </w:p>
        </w:tc>
      </w:tr>
      <w:tr>
        <w:trPr/>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M</w:t>
            </w:r>
          </w:p>
        </w:tc>
        <w:tc>
          <w:tcPr>
            <w:tcW w:w="350" w:type="dxa"/>
            <w:vAlign w:val="center"/>
          </w:tcPr>
          <w:p>
            <w:pPr>
              <w:jc w:val="center"/>
            </w:pPr>
            <w:r>
              <w:rPr/>
              <w:t xml:space="preserve">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M</w:t>
            </w:r>
          </w:p>
        </w:tc>
        <w:tc>
          <w:tcPr>
            <w:tcW w:w="350" w:type="dxa"/>
            <w:vAlign w:val="center"/>
          </w:tcPr>
          <w:p>
            <w:pPr>
              <w:jc w:val="center"/>
            </w:pPr>
            <w:r>
              <w:rPr/>
              <w:t xml:space="preserve">F</w:t>
            </w:r>
          </w:p>
        </w:tc>
      </w:tr>
      <w:tr>
        <w:trPr/>
        <w:tc>
          <w:tcPr>
            <w:tcW w:w="1000" w:type="dxa"/>
          </w:tcPr>
          <w:p>
            <w:pPr/>
            <w:r>
              <w:rPr/>
              <w:t xml:space="preserve">28966</w:t>
            </w:r>
          </w:p>
        </w:tc>
        <w:tc>
          <w:tcPr>
            <w:tcW w:w="700" w:type="dxa"/>
            <w:vAlign w:val="center"/>
          </w:tcPr>
          <w:p>
            <w:pPr>
              <w:jc w:val="center"/>
            </w:pPr>
            <w:r>
              <w:rPr/>
              <w:t xml:space="preserve">580</w:t>
            </w:r>
          </w:p>
        </w:tc>
        <w:tc>
          <w:tcPr>
            <w:tcW w:w="700" w:type="dxa"/>
            <w:vAlign w:val="center"/>
          </w:tcPr>
          <w:p>
            <w:pPr>
              <w:jc w:val="center"/>
            </w:pPr>
            <w:r>
              <w:rPr/>
              <w:t xml:space="preserve">566</w:t>
            </w:r>
          </w:p>
        </w:tc>
        <w:tc>
          <w:tcPr>
            <w:tcW w:w="700" w:type="dxa"/>
            <w:vAlign w:val="center"/>
          </w:tcPr>
          <w:p>
            <w:pPr>
              <w:jc w:val="center"/>
            </w:pPr>
            <w:r>
              <w:rPr/>
              <w:t xml:space="preserve">192</w:t>
            </w:r>
          </w:p>
        </w:tc>
        <w:tc>
          <w:tcPr>
            <w:tcW w:w="700" w:type="dxa"/>
            <w:vAlign w:val="center"/>
          </w:tcPr>
          <w:p>
            <w:pPr>
              <w:jc w:val="center"/>
            </w:pPr>
            <w:r>
              <w:rPr/>
              <w:t xml:space="preserve">199</w:t>
            </w:r>
          </w:p>
        </w:tc>
        <w:tc>
          <w:tcPr>
            <w:tcW w:w="1000" w:type="dxa"/>
          </w:tcPr>
          <w:p>
            <w:pPr/>
            <w:r>
              <w:rPr/>
              <w:t xml:space="preserve">867</w:t>
            </w:r>
          </w:p>
        </w:tc>
        <w:tc>
          <w:tcPr>
            <w:tcW w:w="700" w:type="dxa"/>
            <w:vAlign w:val="center"/>
          </w:tcPr>
          <w:p>
            <w:pPr>
              <w:jc w:val="center"/>
            </w:pPr>
            <w:r>
              <w:rPr/>
              <w:t xml:space="preserve">0</w:t>
            </w:r>
          </w:p>
        </w:tc>
        <w:tc>
          <w:tcPr>
            <w:tcW w:w="700" w:type="dxa"/>
            <w:vAlign w:val="center"/>
          </w:tcPr>
          <w:p>
            <w:pPr>
              <w:jc w:val="center"/>
            </w:pPr>
            <w:r>
              <w:rPr/>
              <w:t xml:space="preserve">2</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7</w:t>
            </w:r>
          </w:p>
        </w:tc>
        <w:tc>
          <w:tcPr>
            <w:tcW w:w="700" w:type="dxa"/>
            <w:vAlign w:val="center"/>
          </w:tcPr>
          <w:p>
            <w:pPr>
              <w:jc w:val="center"/>
            </w:pPr>
            <w:r>
              <w:rPr/>
              <w:t xml:space="preserve">50</w:t>
            </w:r>
          </w:p>
        </w:tc>
        <w:tc>
          <w:tcPr>
            <w:tcW w:w="700" w:type="dxa"/>
            <w:vAlign w:val="center"/>
          </w:tcPr>
          <w:p>
            <w:pPr>
              <w:jc w:val="center"/>
            </w:pPr>
            <w:r>
              <w:rPr/>
              <w:t xml:space="preserve">0</w:t>
            </w:r>
          </w:p>
        </w:tc>
        <w:tc>
          <w:tcPr>
            <w:tcW w:w="700" w:type="dxa"/>
            <w:vAlign w:val="center"/>
          </w:tcPr>
          <w:p>
            <w:pPr>
              <w:jc w:val="center"/>
            </w:pPr>
            <w:r>
              <w:rPr/>
              <w:t xml:space="preserve">11</w:t>
            </w:r>
          </w:p>
        </w:tc>
        <w:tc>
          <w:tcPr>
            <w:tcW w:w="700" w:type="dxa"/>
            <w:vAlign w:val="center"/>
          </w:tcPr>
          <w:p>
            <w:pPr>
              <w:jc w:val="center"/>
            </w:pPr>
            <w:r>
              <w:rPr/>
              <w:t xml:space="preserve">3</w:t>
            </w:r>
          </w:p>
        </w:tc>
        <w:tc>
          <w:tcPr>
            <w:tcW w:w="700" w:type="dxa"/>
            <w:vAlign w:val="center"/>
          </w:tcPr>
          <w:p>
            <w:pPr>
              <w:jc w:val="center"/>
            </w:pPr>
            <w:r>
              <w:rPr/>
              <w:t xml:space="preserve">19</w:t>
            </w:r>
          </w:p>
        </w:tc>
        <w:tc>
          <w:tcPr>
            <w:tcW w:w="1000" w:type="dxa"/>
          </w:tcPr>
          <w:p>
            <w:pPr/>
            <w:r>
              <w:rPr/>
              <w:t xml:space="preserve">1</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4</w:t>
            </w:r>
          </w:p>
        </w:tc>
        <w:tc>
          <w:tcPr>
            <w:tcW w:w="700" w:type="dxa"/>
            <w:vAlign w:val="center"/>
          </w:tcPr>
          <w:p>
            <w:pPr>
              <w:jc w:val="center"/>
            </w:pPr>
            <w:r>
              <w:rPr/>
              <w:t xml:space="preserve">1</w:t>
            </w:r>
          </w:p>
        </w:tc>
        <w:tc>
          <w:tcPr>
            <w:tcW w:w="700" w:type="dxa"/>
            <w:vAlign w:val="center"/>
          </w:tcPr>
          <w:p>
            <w:pPr>
              <w:jc w:val="center"/>
            </w:pPr>
            <w:r>
              <w:rPr/>
              <w:t xml:space="preserve">2</w:t>
            </w:r>
          </w:p>
        </w:tc>
        <w:tc>
          <w:tcPr>
            <w:tcW w:w="700" w:type="dxa"/>
            <w:vAlign w:val="center"/>
          </w:tcPr>
          <w:p>
            <w:pPr>
              <w:jc w:val="center"/>
            </w:pPr>
            <w:r>
              <w:rPr/>
              <w:t xml:space="preserve">0</w:t>
            </w:r>
          </w:p>
        </w:tc>
        <w:tc>
          <w:tcPr>
            <w:tcW w:w="700" w:type="dxa"/>
            <w:vAlign w:val="center"/>
          </w:tcPr>
          <w:p>
            <w:pPr>
              <w:jc w:val="center"/>
            </w:pPr>
            <w:r>
              <w:rPr/>
              <w:t xml:space="preserve">1</w:t>
            </w:r>
          </w:p>
        </w:tc>
      </w:tr>
    </w:tbl>
    <w:p/>
    <w:p/>
    <w:p>
      <w:pPr>
        <w:pStyle w:val="Heading2"/>
      </w:pPr>
      <w:bookmarkStart w:id="9" w:name="_Toc9"/>
      <w:r>
        <w:t>Incubating inclusive model</w:t>
      </w:r>
      <w:bookmarkEnd w:id="9"/>
    </w:p>
    <w:p>
      <w:pPr>
        <w:jc w:val="both"/>
      </w:pPr>
      <w:r>
        <w:rPr/>
        <w:t xml:space="preserve">Lorem ipsum dolor sit amet, consectetur adipiscing elit. Ut ut feugiat tortor. Nullam risus felis, ultrices et feugiat a, elementum a odio. Nam tempor, sapien sit amet iaculis commodo, nibh diam venenatis dolor, et semper ante lorem et nibh. Praesent vitae velit sed eros sollicitudin accumsan sit amet eget magna. Ut malesuada ante eu arcu sollicitudin fermentum. Nam vulputate, lectus tempor accumsan placerat, velit libero posuere purus, sed tempus enim nisi ac lorem. Donec ornare justo elit, a vestibulum ipsum consequat id.</w:t>
      </w:r>
    </w:p>
    <w:p/>
    <w:p>
      <w:pPr>
        <w:pStyle w:val="Heading3"/>
      </w:pPr>
      <w:bookmarkStart w:id="10" w:name="_Toc10"/>
      <w:r>
        <w:t>Govern and adopt inclusive agribusiness partnership</w:t>
      </w:r>
      <w:bookmarkEnd w:id="10"/>
    </w:p>
    <w:p>
      <w:pPr>
        <w:pStyle w:val="Heading3"/>
      </w:pPr>
      <w:bookmarkStart w:id="11" w:name="_Toc11"/>
      <w:r>
        <w:t>Improve access to nutritional food for the BoP consumer</w:t>
      </w:r>
      <w:bookmarkEnd w:id="11"/>
    </w:p>
    <w:p>
      <w:pPr>
        <w:pStyle w:val="Heading3"/>
      </w:pPr>
      <w:bookmarkStart w:id="12" w:name="_Toc12"/>
      <w:r>
        <w:t>Foster competitiveness and inclusiveness of the food value chain </w:t>
      </w:r>
      <w:bookmarkEnd w:id="12"/>
    </w:p>
    <w:p>
      <w:pPr>
        <w:pStyle w:val="Heading3"/>
      </w:pPr>
      <w:bookmarkStart w:id="13" w:name="_Toc13"/>
      <w:r>
        <w:t>Professionalize Agribusiness Clusters</w:t>
      </w:r>
      <w:bookmarkEnd w:id="13"/>
    </w:p>
    <w:p>
      <w:pPr>
        <w:pStyle w:val="Heading3"/>
      </w:pPr>
      <w:bookmarkStart w:id="14" w:name="_Toc14"/>
      <w:r>
        <w:t>Strengthen the enabling agribusiness environment</w:t>
      </w:r>
      <w:bookmarkEnd w:id="14"/>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Quarterly report month-month 2020</w:t>
      </w:r>
    </w:p>
    <w:p>
      <w:pPr>
        <w:jc w:val="center"/>
      </w:pPr>
      <w:r>
        <w:rPr>
          <w:sz w:val="24"/>
          <w:szCs w:val="24"/>
          <w:b w:val="1"/>
          <w:bCs w:val="1"/>
        </w:rPr>
        <w:t xml:space="preserve">Burkina Faso</w:t>
      </w:r>
    </w:p>
    <w:p/>
    <w:p/>
    <w:p>
      <w:pPr/>
      <w:r>
        <w:rPr>
          <w:sz w:val="24"/>
          <w:szCs w:val="24"/>
          <w:b w:val="1"/>
          <w:bCs w:val="1"/>
        </w:rPr>
        <w:t xml:space="preserve">Partnership Name: BF22_Soja_SIATOL</w:t>
      </w:r>
    </w:p>
    <w:p>
      <w:pPr/>
      <w:r>
        <w:pict>
          <v:shape id="_x0000_s1006" type="#_x0000_t32" style="width:430pt; height:0pt; margin-left:0pt; margin-top:0pt; mso-position-horizontal:left; mso-position-vertical:top; mso-position-horizontal-relative:char; mso-position-vertical-relative:line;">
            <w10:wrap type="inline"/>
            <v:stroke weight="1pt"/>
          </v:shape>
        </w:pict>
      </w:r>
    </w:p>
    <w:p>
      <w:pPr>
        <w:pStyle w:val="Heading2"/>
      </w:pPr>
      <w:bookmarkStart w:id="15" w:name="_Toc15"/>
      <w:r>
        <w:t>Summary of the PPPs contribution to the UIIs</w:t>
      </w:r>
      <w:bookmarkEnd w:id="15"/>
    </w:p>
    <w:tbl>
      <w:tblGrid>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tblGrid>
      <w:tblPr>
        <w:tblStyle w:val="Rsr Table"/>
      </w:tblPr>
      <w:tr>
        <w:trPr/>
        <w:tc>
          <w:tcPr>
            <w:tcW w:w="350" w:type="dxa"/>
            <w:vAlign w:val="center"/>
            <w:vMerge w:val="restart"/>
          </w:tcPr>
          <w:p>
            <w:pPr/>
            <w:r>
              <w:rPr/>
              <w:t xml:space="preserve">UII-1 BoP</w:t>
            </w:r>
          </w:p>
        </w:tc>
        <w:tc>
          <w:tcPr>
            <w:tcW w:w="1400" w:type="dxa"/>
            <w:vAlign w:val="center"/>
            <w:gridSpan w:val="4"/>
          </w:tcPr>
          <w:p>
            <w:pPr>
              <w:jc w:val="center"/>
            </w:pPr>
            <w:r>
              <w:rPr/>
              <w:t xml:space="preserve">UII-2 SHF</w:t>
            </w:r>
          </w:p>
        </w:tc>
        <w:tc>
          <w:tcPr>
            <w:tcW w:w="350" w:type="dxa"/>
            <w:vAlign w:val="center"/>
            <w:vMerge w:val="restart"/>
          </w:tcPr>
          <w:p>
            <w:pPr/>
            <w:r>
              <w:rPr/>
              <w:t xml:space="preserve">UII-3 EEP</w:t>
            </w:r>
          </w:p>
        </w:tc>
        <w:tc>
          <w:tcPr>
            <w:tcW w:w="700" w:type="dxa"/>
            <w:vAlign w:val="center"/>
            <w:gridSpan w:val="2"/>
          </w:tcPr>
          <w:p>
            <w:pPr>
              <w:jc w:val="center"/>
            </w:pPr>
            <w:r>
              <w:rPr/>
              <w:t xml:space="preserve">UII-4 SME</w:t>
            </w:r>
          </w:p>
        </w:tc>
        <w:tc>
          <w:tcPr>
            <w:tcW w:w="1400" w:type="dxa"/>
            <w:vAlign w:val="center"/>
            <w:gridSpan w:val="4"/>
          </w:tcPr>
          <w:p>
            <w:pPr>
              <w:jc w:val="center"/>
            </w:pPr>
            <w:r>
              <w:rPr/>
              <w:t xml:space="preserve">UII-5 NonFE</w:t>
            </w:r>
          </w:p>
        </w:tc>
        <w:tc>
          <w:tcPr>
            <w:tcW w:w="1400" w:type="dxa"/>
            <w:vAlign w:val="center"/>
            <w:gridSpan w:val="4"/>
          </w:tcPr>
          <w:p>
            <w:pPr>
              <w:jc w:val="center"/>
            </w:pPr>
            <w:r>
              <w:rPr/>
              <w:t xml:space="preserve">UII-6 MSME</w:t>
            </w:r>
          </w:p>
        </w:tc>
        <w:tc>
          <w:tcPr>
            <w:tcW w:w="350" w:type="dxa"/>
            <w:vAlign w:val="center"/>
            <w:vMerge w:val="restart"/>
          </w:tcPr>
          <w:p>
            <w:pPr/>
            <w:r>
              <w:rPr/>
              <w:t xml:space="preserve">UII-7 INNO</w:t>
            </w:r>
          </w:p>
        </w:tc>
        <w:tc>
          <w:tcPr>
            <w:tcW w:w="3500" w:type="dxa"/>
            <w:vAlign w:val="center"/>
            <w:gridSpan w:val="10"/>
          </w:tcPr>
          <w:p>
            <w:pPr>
              <w:jc w:val="center"/>
            </w:pPr>
            <w:r>
              <w:rPr/>
              <w:t xml:space="preserve">UII-8 FSERV</w:t>
            </w:r>
          </w:p>
        </w:tc>
      </w:tr>
      <w:tr>
        <w:trPr/>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M</w:t>
            </w:r>
          </w:p>
        </w:tc>
        <w:tc>
          <w:tcPr>
            <w:tcW w:w="350" w:type="dxa"/>
            <w:vAlign w:val="center"/>
          </w:tcPr>
          <w:p>
            <w:pPr>
              <w:jc w:val="center"/>
            </w:pPr>
            <w:r>
              <w:rPr/>
              <w:t xml:space="preserve">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M</w:t>
            </w:r>
          </w:p>
        </w:tc>
        <w:tc>
          <w:tcPr>
            <w:tcW w:w="350" w:type="dxa"/>
            <w:vAlign w:val="center"/>
          </w:tcPr>
          <w:p>
            <w:pPr>
              <w:jc w:val="center"/>
            </w:pPr>
            <w:r>
              <w:rPr/>
              <w:t xml:space="preserve">F</w:t>
            </w:r>
          </w:p>
        </w:tc>
      </w:tr>
      <w:tr>
        <w:trPr/>
        <w:tc>
          <w:tcPr>
            <w:tcW w:w="1000" w:type="dxa"/>
          </w:tcPr>
          <w:p>
            <w:pPr/>
            <w:r>
              <w:rPr/>
              <w:t xml:space="preserve">0</w:t>
            </w:r>
          </w:p>
        </w:tc>
        <w:tc>
          <w:tcPr>
            <w:tcW w:w="700" w:type="dxa"/>
            <w:vAlign w:val="center"/>
          </w:tcPr>
          <w:p>
            <w:pPr>
              <w:jc w:val="center"/>
            </w:pPr>
            <w:r>
              <w:rPr/>
              <w:t xml:space="preserve">704</w:t>
            </w:r>
          </w:p>
        </w:tc>
        <w:tc>
          <w:tcPr>
            <w:tcW w:w="700" w:type="dxa"/>
            <w:vAlign w:val="center"/>
          </w:tcPr>
          <w:p>
            <w:pPr>
              <w:jc w:val="center"/>
            </w:pPr>
            <w:r>
              <w:rPr/>
              <w:t xml:space="preserve">736</w:t>
            </w:r>
          </w:p>
        </w:tc>
        <w:tc>
          <w:tcPr>
            <w:tcW w:w="700" w:type="dxa"/>
            <w:vAlign w:val="center"/>
          </w:tcPr>
          <w:p>
            <w:pPr>
              <w:jc w:val="center"/>
            </w:pPr>
            <w:r>
              <w:rPr/>
              <w:t xml:space="preserve">1472</w:t>
            </w:r>
          </w:p>
        </w:tc>
        <w:tc>
          <w:tcPr>
            <w:tcW w:w="700" w:type="dxa"/>
            <w:vAlign w:val="center"/>
          </w:tcPr>
          <w:p>
            <w:pPr>
              <w:jc w:val="center"/>
            </w:pPr>
            <w:r>
              <w:rPr/>
              <w:t xml:space="preserve">288</w:t>
            </w:r>
          </w:p>
        </w:tc>
        <w:tc>
          <w:tcPr>
            <w:tcW w:w="1000" w:type="dxa"/>
          </w:tcPr>
          <w:p>
            <w:pPr/>
            <w:r>
              <w:rPr/>
              <w:t xml:space="preserve">0</w:t>
            </w:r>
          </w:p>
        </w:tc>
        <w:tc>
          <w:tcPr>
            <w:tcW w:w="700" w:type="dxa"/>
            <w:vAlign w:val="center"/>
          </w:tcPr>
          <w:p>
            <w:pPr>
              <w:jc w:val="center"/>
            </w:pPr>
            <w:r>
              <w:rPr/>
              <w:t xml:space="preserve">1</w:t>
            </w:r>
          </w:p>
        </w:tc>
        <w:tc>
          <w:tcPr>
            <w:tcW w:w="700" w:type="dxa"/>
            <w:vAlign w:val="center"/>
          </w:tcPr>
          <w:p>
            <w:pPr>
              <w:jc w:val="center"/>
            </w:pPr>
            <w:r>
              <w:rPr/>
              <w:t xml:space="preserve">1</w:t>
            </w:r>
          </w:p>
        </w:tc>
        <w:tc>
          <w:tcPr>
            <w:tcW w:w="700" w:type="dxa"/>
            <w:vAlign w:val="center"/>
          </w:tcPr>
          <w:p>
            <w:pPr>
              <w:jc w:val="center"/>
            </w:pPr>
            <w:r>
              <w:rPr/>
              <w:t xml:space="preserve">2</w:t>
            </w:r>
          </w:p>
        </w:tc>
        <w:tc>
          <w:tcPr>
            <w:tcW w:w="700" w:type="dxa"/>
            <w:vAlign w:val="center"/>
          </w:tcPr>
          <w:p>
            <w:pPr>
              <w:jc w:val="center"/>
            </w:pPr>
            <w:r>
              <w:rPr/>
              <w:t xml:space="preserve">25</w:t>
            </w:r>
          </w:p>
        </w:tc>
        <w:tc>
          <w:tcPr>
            <w:tcW w:w="700" w:type="dxa"/>
            <w:vAlign w:val="center"/>
          </w:tcPr>
          <w:p>
            <w:pPr>
              <w:jc w:val="center"/>
            </w:pPr>
            <w:r>
              <w:rPr/>
              <w:t xml:space="preserve">16</w:t>
            </w:r>
          </w:p>
        </w:tc>
        <w:tc>
          <w:tcPr>
            <w:tcW w:w="700" w:type="dxa"/>
            <w:vAlign w:val="center"/>
          </w:tcPr>
          <w:p>
            <w:pPr>
              <w:jc w:val="center"/>
            </w:pPr>
            <w:r>
              <w:rPr/>
              <w:t xml:space="preserve">47</w:t>
            </w:r>
          </w:p>
        </w:tc>
        <w:tc>
          <w:tcPr>
            <w:tcW w:w="700" w:type="dxa"/>
            <w:vAlign w:val="center"/>
          </w:tcPr>
          <w:p>
            <w:pPr>
              <w:jc w:val="center"/>
            </w:pPr>
            <w:r>
              <w:rPr/>
              <w:t xml:space="preserve">15</w:t>
            </w:r>
          </w:p>
        </w:tc>
        <w:tc>
          <w:tcPr>
            <w:tcW w:w="700" w:type="dxa"/>
            <w:vAlign w:val="center"/>
          </w:tcPr>
          <w:p>
            <w:pPr>
              <w:jc w:val="center"/>
            </w:pPr>
            <w:r>
              <w:rPr/>
              <w:t xml:space="preserve">10</w:t>
            </w:r>
          </w:p>
        </w:tc>
        <w:tc>
          <w:tcPr>
            <w:tcW w:w="700" w:type="dxa"/>
            <w:vAlign w:val="center"/>
          </w:tcPr>
          <w:p>
            <w:pPr>
              <w:jc w:val="center"/>
            </w:pPr>
            <w:r>
              <w:rPr/>
              <w:t xml:space="preserve">8</w:t>
            </w:r>
          </w:p>
        </w:tc>
        <w:tc>
          <w:tcPr>
            <w:tcW w:w="700" w:type="dxa"/>
            <w:vAlign w:val="center"/>
          </w:tcPr>
          <w:p>
            <w:pPr>
              <w:jc w:val="center"/>
            </w:pPr>
            <w:r>
              <w:rPr/>
              <w:t xml:space="preserve">6</w:t>
            </w:r>
          </w:p>
        </w:tc>
        <w:tc>
          <w:tcPr>
            <w:tcW w:w="1000" w:type="dxa"/>
          </w:tcPr>
          <w:p>
            <w:pPr/>
            <w:r>
              <w:rPr/>
              <w:t xml:space="preserve">1</w:t>
            </w:r>
          </w:p>
        </w:tc>
        <w:tc>
          <w:tcPr>
            <w:tcW w:w="700" w:type="dxa"/>
            <w:vAlign w:val="center"/>
          </w:tcPr>
          <w:p>
            <w:pPr>
              <w:jc w:val="center"/>
            </w:pPr>
            <w:r>
              <w:rPr/>
              <w:t xml:space="preserve">663</w:t>
            </w:r>
          </w:p>
        </w:tc>
        <w:tc>
          <w:tcPr>
            <w:tcW w:w="700" w:type="dxa"/>
            <w:vAlign w:val="center"/>
          </w:tcPr>
          <w:p>
            <w:pPr>
              <w:jc w:val="center"/>
            </w:pPr>
            <w:r>
              <w:rPr/>
              <w:t xml:space="preserve">300</w:t>
            </w:r>
          </w:p>
        </w:tc>
        <w:tc>
          <w:tcPr>
            <w:tcW w:w="700" w:type="dxa"/>
            <w:vAlign w:val="center"/>
          </w:tcPr>
          <w:p>
            <w:pPr>
              <w:jc w:val="center"/>
            </w:pPr>
            <w:r>
              <w:rPr/>
              <w:t xml:space="preserve">2159</w:t>
            </w:r>
          </w:p>
        </w:tc>
        <w:tc>
          <w:tcPr>
            <w:tcW w:w="700" w:type="dxa"/>
            <w:vAlign w:val="center"/>
          </w:tcPr>
          <w:p>
            <w:pPr>
              <w:jc w:val="center"/>
            </w:pPr>
            <w:r>
              <w:rPr/>
              <w:t xml:space="preserve">900</w:t>
            </w:r>
          </w:p>
        </w:tc>
        <w:tc>
          <w:tcPr>
            <w:tcW w:w="700" w:type="dxa"/>
            <w:vAlign w:val="center"/>
          </w:tcPr>
          <w:p>
            <w:pPr>
              <w:jc w:val="center"/>
            </w:pPr>
            <w:r>
              <w:rPr/>
              <w:t xml:space="preserve">3</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1</w:t>
            </w:r>
          </w:p>
        </w:tc>
        <w:tc>
          <w:tcPr>
            <w:tcW w:w="700" w:type="dxa"/>
            <w:vAlign w:val="center"/>
          </w:tcPr>
          <w:p>
            <w:pPr>
              <w:jc w:val="center"/>
            </w:pPr>
            <w:r>
              <w:rPr/>
              <w:t xml:space="preserve">0</w:t>
            </w:r>
          </w:p>
        </w:tc>
      </w:tr>
    </w:tbl>
    <w:p/>
    <w:p/>
    <w:p>
      <w:pPr>
        <w:pStyle w:val="Heading2"/>
      </w:pPr>
      <w:bookmarkStart w:id="16" w:name="_Toc16"/>
      <w:r>
        <w:t>Incubating inclusive model</w:t>
      </w:r>
      <w:bookmarkEnd w:id="16"/>
    </w:p>
    <w:p>
      <w:pPr>
        <w:jc w:val="both"/>
      </w:pPr>
      <w:r>
        <w:rPr/>
        <w:t xml:space="preserve">Lorem ipsum dolor sit amet, consectetur adipiscing elit. Ut ut feugiat tortor. Nullam risus felis, ultrices et feugiat a, elementum a odio. Nam tempor, sapien sit amet iaculis commodo, nibh diam venenatis dolor, et semper ante lorem et nibh. Praesent vitae velit sed eros sollicitudin accumsan sit amet eget magna. Ut malesuada ante eu arcu sollicitudin fermentum. Nam vulputate, lectus tempor accumsan placerat, velit libero posuere purus, sed tempus enim nisi ac lorem. Donec ornare justo elit, a vestibulum ipsum consequat id.</w:t>
      </w:r>
    </w:p>
    <w:p/>
    <w:p>
      <w:pPr>
        <w:pStyle w:val="Heading3"/>
      </w:pPr>
      <w:bookmarkStart w:id="17" w:name="_Toc17"/>
      <w:r>
        <w:t>Govern and adopt inclusive agribusiness partnership</w:t>
      </w:r>
      <w:bookmarkEnd w:id="17"/>
    </w:p>
    <w:p>
      <w:pPr>
        <w:pStyle w:val="Heading3"/>
      </w:pPr>
      <w:bookmarkStart w:id="18" w:name="_Toc18"/>
      <w:r>
        <w:t>Improve access to nutritional food for the BoP consumer</w:t>
      </w:r>
      <w:bookmarkEnd w:id="18"/>
    </w:p>
    <w:p>
      <w:pPr>
        <w:pStyle w:val="Heading3"/>
      </w:pPr>
      <w:bookmarkStart w:id="19" w:name="_Toc19"/>
      <w:r>
        <w:t>Foster competitiveness and inclusiveness of the food value chain </w:t>
      </w:r>
      <w:bookmarkEnd w:id="19"/>
    </w:p>
    <w:p>
      <w:pPr>
        <w:pStyle w:val="Heading3"/>
      </w:pPr>
      <w:bookmarkStart w:id="20" w:name="_Toc20"/>
      <w:r>
        <w:t>Professionalize Agribusiness Clusters</w:t>
      </w:r>
      <w:bookmarkEnd w:id="20"/>
    </w:p>
    <w:p>
      <w:pPr>
        <w:pStyle w:val="Heading3"/>
      </w:pPr>
      <w:bookmarkStart w:id="21" w:name="_Toc21"/>
      <w:r>
        <w:t>Strengthen the enabling agribusiness environment</w:t>
      </w:r>
      <w:bookmarkEnd w:id="21"/>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Quarterly report month-month 2020</w:t>
      </w:r>
    </w:p>
    <w:p>
      <w:pPr>
        <w:jc w:val="center"/>
      </w:pPr>
      <w:r>
        <w:rPr>
          <w:sz w:val="24"/>
          <w:szCs w:val="24"/>
          <w:b w:val="1"/>
          <w:bCs w:val="1"/>
        </w:rPr>
        <w:t xml:space="preserve">Burkina Faso</w:t>
      </w:r>
    </w:p>
    <w:p/>
    <w:p/>
    <w:p>
      <w:pPr/>
      <w:r>
        <w:rPr>
          <w:sz w:val="24"/>
          <w:szCs w:val="24"/>
          <w:b w:val="1"/>
          <w:bCs w:val="1"/>
        </w:rPr>
        <w:t xml:space="preserve">Partnership Name: BF24_Groundnuts_Innofaso TO BE DELETED</w:t>
      </w:r>
    </w:p>
    <w:p>
      <w:pPr/>
      <w:r>
        <w:pict>
          <v:shape id="_x0000_s1006" type="#_x0000_t32" style="width:430pt; height:0pt; margin-left:0pt; margin-top:0pt; mso-position-horizontal:left; mso-position-vertical:top; mso-position-horizontal-relative:char; mso-position-vertical-relative:line;">
            <w10:wrap type="inline"/>
            <v:stroke weight="1pt"/>
          </v:shape>
        </w:pict>
      </w:r>
    </w:p>
    <w:p>
      <w:pPr>
        <w:pStyle w:val="Heading2"/>
      </w:pPr>
      <w:bookmarkStart w:id="22" w:name="_Toc22"/>
      <w:r>
        <w:t>Summary of the PPPs contribution to the UIIs</w:t>
      </w:r>
      <w:bookmarkEnd w:id="22"/>
    </w:p>
    <w:tbl>
      <w:tblGrid>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tblGrid>
      <w:tblPr>
        <w:tblStyle w:val="Rsr Table"/>
      </w:tblPr>
      <w:tr>
        <w:trPr/>
        <w:tc>
          <w:tcPr>
            <w:tcW w:w="350" w:type="dxa"/>
            <w:vAlign w:val="center"/>
            <w:vMerge w:val="restart"/>
          </w:tcPr>
          <w:p>
            <w:pPr/>
            <w:r>
              <w:rPr/>
              <w:t xml:space="preserve">UII-1 BoP</w:t>
            </w:r>
          </w:p>
        </w:tc>
        <w:tc>
          <w:tcPr>
            <w:tcW w:w="1400" w:type="dxa"/>
            <w:vAlign w:val="center"/>
            <w:gridSpan w:val="4"/>
          </w:tcPr>
          <w:p>
            <w:pPr>
              <w:jc w:val="center"/>
            </w:pPr>
            <w:r>
              <w:rPr/>
              <w:t xml:space="preserve">UII-2 SHF</w:t>
            </w:r>
          </w:p>
        </w:tc>
        <w:tc>
          <w:tcPr>
            <w:tcW w:w="350" w:type="dxa"/>
            <w:vAlign w:val="center"/>
            <w:vMerge w:val="restart"/>
          </w:tcPr>
          <w:p>
            <w:pPr/>
            <w:r>
              <w:rPr/>
              <w:t xml:space="preserve">UII-3 EEP</w:t>
            </w:r>
          </w:p>
        </w:tc>
        <w:tc>
          <w:tcPr>
            <w:tcW w:w="700" w:type="dxa"/>
            <w:vAlign w:val="center"/>
            <w:gridSpan w:val="2"/>
          </w:tcPr>
          <w:p>
            <w:pPr>
              <w:jc w:val="center"/>
            </w:pPr>
            <w:r>
              <w:rPr/>
              <w:t xml:space="preserve">UII-4 SME</w:t>
            </w:r>
          </w:p>
        </w:tc>
        <w:tc>
          <w:tcPr>
            <w:tcW w:w="1400" w:type="dxa"/>
            <w:vAlign w:val="center"/>
            <w:gridSpan w:val="4"/>
          </w:tcPr>
          <w:p>
            <w:pPr>
              <w:jc w:val="center"/>
            </w:pPr>
            <w:r>
              <w:rPr/>
              <w:t xml:space="preserve">UII-5 NonFE</w:t>
            </w:r>
          </w:p>
        </w:tc>
        <w:tc>
          <w:tcPr>
            <w:tcW w:w="1400" w:type="dxa"/>
            <w:vAlign w:val="center"/>
            <w:gridSpan w:val="4"/>
          </w:tcPr>
          <w:p>
            <w:pPr>
              <w:jc w:val="center"/>
            </w:pPr>
            <w:r>
              <w:rPr/>
              <w:t xml:space="preserve">UII-6 MSME</w:t>
            </w:r>
          </w:p>
        </w:tc>
        <w:tc>
          <w:tcPr>
            <w:tcW w:w="350" w:type="dxa"/>
            <w:vAlign w:val="center"/>
            <w:vMerge w:val="restart"/>
          </w:tcPr>
          <w:p>
            <w:pPr/>
            <w:r>
              <w:rPr/>
              <w:t xml:space="preserve">UII-7 INNO</w:t>
            </w:r>
          </w:p>
        </w:tc>
        <w:tc>
          <w:tcPr>
            <w:tcW w:w="3500" w:type="dxa"/>
            <w:vAlign w:val="center"/>
            <w:gridSpan w:val="10"/>
          </w:tcPr>
          <w:p>
            <w:pPr>
              <w:jc w:val="center"/>
            </w:pPr>
            <w:r>
              <w:rPr/>
              <w:t xml:space="preserve">UII-8 FSERV</w:t>
            </w:r>
          </w:p>
        </w:tc>
      </w:tr>
      <w:tr>
        <w:trPr/>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M</w:t>
            </w:r>
          </w:p>
        </w:tc>
        <w:tc>
          <w:tcPr>
            <w:tcW w:w="350" w:type="dxa"/>
            <w:vAlign w:val="center"/>
          </w:tcPr>
          <w:p>
            <w:pPr>
              <w:jc w:val="center"/>
            </w:pPr>
            <w:r>
              <w:rPr/>
              <w:t xml:space="preserve">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M</w:t>
            </w:r>
          </w:p>
        </w:tc>
        <w:tc>
          <w:tcPr>
            <w:tcW w:w="350" w:type="dxa"/>
            <w:vAlign w:val="center"/>
          </w:tcPr>
          <w:p>
            <w:pPr>
              <w:jc w:val="center"/>
            </w:pPr>
            <w:r>
              <w:rPr/>
              <w:t xml:space="preserve">F</w:t>
            </w:r>
          </w:p>
        </w:tc>
      </w:tr>
      <w:tr>
        <w:trPr/>
        <w:tc>
          <w:tcPr>
            <w:tcW w:w="1000" w:type="dxa"/>
          </w:tcPr>
          <w:p>
            <w:pPr/>
            <w:r>
              <w:rPr/>
              <w:t xml:space="preserve">748</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1000" w:type="dxa"/>
          </w:tcPr>
          <w:p>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1000" w:type="dxa"/>
          </w:tcPr>
          <w:p>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r>
    </w:tbl>
    <w:p/>
    <w:p/>
    <w:p>
      <w:pPr>
        <w:pStyle w:val="Heading2"/>
      </w:pPr>
      <w:bookmarkStart w:id="23" w:name="_Toc23"/>
      <w:r>
        <w:t>Incubating inclusive model</w:t>
      </w:r>
      <w:bookmarkEnd w:id="23"/>
    </w:p>
    <w:p>
      <w:pPr>
        <w:jc w:val="both"/>
      </w:pPr>
      <w:r>
        <w:rPr/>
        <w:t xml:space="preserve">Lorem ipsum dolor sit amet, consectetur adipiscing elit. Ut ut feugiat tortor. Nullam risus felis, ultrices et feugiat a, elementum a odio. Nam tempor, sapien sit amet iaculis commodo, nibh diam venenatis dolor, et semper ante lorem et nibh. Praesent vitae velit sed eros sollicitudin accumsan sit amet eget magna. Ut malesuada ante eu arcu sollicitudin fermentum. Nam vulputate, lectus tempor accumsan placerat, velit libero posuere purus, sed tempus enim nisi ac lorem. Donec ornare justo elit, a vestibulum ipsum consequat id.</w:t>
      </w:r>
    </w:p>
    <w:p/>
    <w:p>
      <w:pPr>
        <w:pStyle w:val="Heading3"/>
      </w:pPr>
      <w:bookmarkStart w:id="24" w:name="_Toc24"/>
      <w:r>
        <w:t>Govern and adopt inclusive agribusiness partnership</w:t>
      </w:r>
      <w:bookmarkEnd w:id="24"/>
    </w:p>
    <w:p>
      <w:pPr>
        <w:pStyle w:val="Heading3"/>
      </w:pPr>
      <w:bookmarkStart w:id="25" w:name="_Toc25"/>
      <w:r>
        <w:t>Improve access to nutritional food for the BoP consumer</w:t>
      </w:r>
      <w:bookmarkEnd w:id="25"/>
    </w:p>
    <w:p>
      <w:pPr>
        <w:pStyle w:val="Heading3"/>
      </w:pPr>
      <w:bookmarkStart w:id="26" w:name="_Toc26"/>
      <w:r>
        <w:t>Foster competitiveness and inclusiveness of the food value chain </w:t>
      </w:r>
      <w:bookmarkEnd w:id="26"/>
    </w:p>
    <w:p>
      <w:pPr>
        <w:pStyle w:val="Heading3"/>
      </w:pPr>
      <w:bookmarkStart w:id="27" w:name="_Toc27"/>
      <w:r>
        <w:t>Professionalize Agribusiness Clusters</w:t>
      </w:r>
      <w:bookmarkEnd w:id="27"/>
    </w:p>
    <w:p>
      <w:pPr>
        <w:pStyle w:val="Heading3"/>
      </w:pPr>
      <w:bookmarkStart w:id="28" w:name="_Toc28"/>
      <w:r>
        <w:t>Strengthen the enabling agribusiness environment</w:t>
      </w:r>
      <w:bookmarkEnd w:id="28"/>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Quarterly report month-month 2020</w:t>
      </w:r>
    </w:p>
    <w:p>
      <w:pPr>
        <w:jc w:val="center"/>
      </w:pPr>
      <w:r>
        <w:rPr>
          <w:sz w:val="24"/>
          <w:szCs w:val="24"/>
          <w:b w:val="1"/>
          <w:bCs w:val="1"/>
        </w:rPr>
        <w:t xml:space="preserve">Burkina Faso</w:t>
      </w:r>
    </w:p>
    <w:p/>
    <w:p/>
    <w:p>
      <w:pPr/>
      <w:r>
        <w:rPr>
          <w:sz w:val="24"/>
          <w:szCs w:val="24"/>
          <w:b w:val="1"/>
          <w:bCs w:val="1"/>
        </w:rPr>
        <w:t xml:space="preserve">Partnership Name: BF25_Rice_Nebnooma</w:t>
      </w:r>
    </w:p>
    <w:p>
      <w:pPr/>
      <w:r>
        <w:pict>
          <v:shape id="_x0000_s1006" type="#_x0000_t32" style="width:430pt; height:0pt; margin-left:0pt; margin-top:0pt; mso-position-horizontal:left; mso-position-vertical:top; mso-position-horizontal-relative:char; mso-position-vertical-relative:line;">
            <w10:wrap type="inline"/>
            <v:stroke weight="1pt"/>
          </v:shape>
        </w:pict>
      </w:r>
    </w:p>
    <w:p>
      <w:pPr>
        <w:pStyle w:val="Heading2"/>
      </w:pPr>
      <w:bookmarkStart w:id="29" w:name="_Toc29"/>
      <w:r>
        <w:t>Summary of the PPPs contribution to the UIIs</w:t>
      </w:r>
      <w:bookmarkEnd w:id="29"/>
    </w:p>
    <w:tbl>
      <w:tblGrid>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tblGrid>
      <w:tblPr>
        <w:tblStyle w:val="Rsr Table"/>
      </w:tblPr>
      <w:tr>
        <w:trPr/>
        <w:tc>
          <w:tcPr>
            <w:tcW w:w="350" w:type="dxa"/>
            <w:vAlign w:val="center"/>
            <w:vMerge w:val="restart"/>
          </w:tcPr>
          <w:p>
            <w:pPr/>
            <w:r>
              <w:rPr/>
              <w:t xml:space="preserve">UII-1 BoP</w:t>
            </w:r>
          </w:p>
        </w:tc>
        <w:tc>
          <w:tcPr>
            <w:tcW w:w="1400" w:type="dxa"/>
            <w:vAlign w:val="center"/>
            <w:gridSpan w:val="4"/>
          </w:tcPr>
          <w:p>
            <w:pPr>
              <w:jc w:val="center"/>
            </w:pPr>
            <w:r>
              <w:rPr/>
              <w:t xml:space="preserve">UII-2 SHF</w:t>
            </w:r>
          </w:p>
        </w:tc>
        <w:tc>
          <w:tcPr>
            <w:tcW w:w="350" w:type="dxa"/>
            <w:vAlign w:val="center"/>
            <w:vMerge w:val="restart"/>
          </w:tcPr>
          <w:p>
            <w:pPr/>
            <w:r>
              <w:rPr/>
              <w:t xml:space="preserve">UII-3 EEP</w:t>
            </w:r>
          </w:p>
        </w:tc>
        <w:tc>
          <w:tcPr>
            <w:tcW w:w="700" w:type="dxa"/>
            <w:vAlign w:val="center"/>
            <w:gridSpan w:val="2"/>
          </w:tcPr>
          <w:p>
            <w:pPr>
              <w:jc w:val="center"/>
            </w:pPr>
            <w:r>
              <w:rPr/>
              <w:t xml:space="preserve">UII-4 SME</w:t>
            </w:r>
          </w:p>
        </w:tc>
        <w:tc>
          <w:tcPr>
            <w:tcW w:w="1400" w:type="dxa"/>
            <w:vAlign w:val="center"/>
            <w:gridSpan w:val="4"/>
          </w:tcPr>
          <w:p>
            <w:pPr>
              <w:jc w:val="center"/>
            </w:pPr>
            <w:r>
              <w:rPr/>
              <w:t xml:space="preserve">UII-5 NonFE</w:t>
            </w:r>
          </w:p>
        </w:tc>
        <w:tc>
          <w:tcPr>
            <w:tcW w:w="1400" w:type="dxa"/>
            <w:vAlign w:val="center"/>
            <w:gridSpan w:val="4"/>
          </w:tcPr>
          <w:p>
            <w:pPr>
              <w:jc w:val="center"/>
            </w:pPr>
            <w:r>
              <w:rPr/>
              <w:t xml:space="preserve">UII-6 MSME</w:t>
            </w:r>
          </w:p>
        </w:tc>
        <w:tc>
          <w:tcPr>
            <w:tcW w:w="350" w:type="dxa"/>
            <w:vAlign w:val="center"/>
            <w:vMerge w:val="restart"/>
          </w:tcPr>
          <w:p>
            <w:pPr/>
            <w:r>
              <w:rPr/>
              <w:t xml:space="preserve">UII-7 INNO</w:t>
            </w:r>
          </w:p>
        </w:tc>
        <w:tc>
          <w:tcPr>
            <w:tcW w:w="3500" w:type="dxa"/>
            <w:vAlign w:val="center"/>
            <w:gridSpan w:val="10"/>
          </w:tcPr>
          <w:p>
            <w:pPr>
              <w:jc w:val="center"/>
            </w:pPr>
            <w:r>
              <w:rPr/>
              <w:t xml:space="preserve">UII-8 FSERV</w:t>
            </w:r>
          </w:p>
        </w:tc>
      </w:tr>
      <w:tr>
        <w:trPr/>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M</w:t>
            </w:r>
          </w:p>
        </w:tc>
        <w:tc>
          <w:tcPr>
            <w:tcW w:w="350" w:type="dxa"/>
            <w:vAlign w:val="center"/>
          </w:tcPr>
          <w:p>
            <w:pPr>
              <w:jc w:val="center"/>
            </w:pPr>
            <w:r>
              <w:rPr/>
              <w:t xml:space="preserve">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M</w:t>
            </w:r>
          </w:p>
        </w:tc>
        <w:tc>
          <w:tcPr>
            <w:tcW w:w="350" w:type="dxa"/>
            <w:vAlign w:val="center"/>
          </w:tcPr>
          <w:p>
            <w:pPr>
              <w:jc w:val="center"/>
            </w:pPr>
            <w:r>
              <w:rPr/>
              <w:t xml:space="preserve">F</w:t>
            </w:r>
          </w:p>
        </w:tc>
      </w:tr>
      <w:tr>
        <w:trPr/>
        <w:tc>
          <w:tcPr>
            <w:tcW w:w="1000" w:type="dxa"/>
          </w:tcPr>
          <w:p>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1000" w:type="dxa"/>
          </w:tcPr>
          <w:p>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1000" w:type="dxa"/>
          </w:tcPr>
          <w:p>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r>
    </w:tbl>
    <w:p/>
    <w:p/>
    <w:p>
      <w:pPr>
        <w:pStyle w:val="Heading2"/>
      </w:pPr>
      <w:bookmarkStart w:id="30" w:name="_Toc30"/>
      <w:r>
        <w:t>Incubating inclusive model</w:t>
      </w:r>
      <w:bookmarkEnd w:id="30"/>
    </w:p>
    <w:p>
      <w:pPr>
        <w:jc w:val="both"/>
      </w:pPr>
      <w:r>
        <w:rPr/>
        <w:t xml:space="preserve">Lorem ipsum dolor sit amet, consectetur adipiscing elit. Ut ut feugiat tortor. Nullam risus felis, ultrices et feugiat a, elementum a odio. Nam tempor, sapien sit amet iaculis commodo, nibh diam venenatis dolor, et semper ante lorem et nibh. Praesent vitae velit sed eros sollicitudin accumsan sit amet eget magna. Ut malesuada ante eu arcu sollicitudin fermentum. Nam vulputate, lectus tempor accumsan placerat, velit libero posuere purus, sed tempus enim nisi ac lorem. Donec ornare justo elit, a vestibulum ipsum consequat id.</w:t>
      </w:r>
    </w:p>
    <w:p/>
    <w:p>
      <w:pPr>
        <w:pStyle w:val="Heading3"/>
      </w:pPr>
      <w:bookmarkStart w:id="31" w:name="_Toc31"/>
      <w:r>
        <w:t>Govern and adopt inclusive agribusiness partnership</w:t>
      </w:r>
      <w:bookmarkEnd w:id="31"/>
    </w:p>
    <w:p>
      <w:pPr>
        <w:pStyle w:val="Heading3"/>
      </w:pPr>
      <w:bookmarkStart w:id="32" w:name="_Toc32"/>
      <w:r>
        <w:t>Improve access to nutritional food for the BoP consumer</w:t>
      </w:r>
      <w:bookmarkEnd w:id="32"/>
    </w:p>
    <w:p>
      <w:pPr>
        <w:pStyle w:val="Heading3"/>
      </w:pPr>
      <w:bookmarkStart w:id="33" w:name="_Toc33"/>
      <w:r>
        <w:t>Foster competitiveness and inclusiveness of the food value chain </w:t>
      </w:r>
      <w:bookmarkEnd w:id="33"/>
    </w:p>
    <w:p>
      <w:pPr>
        <w:pStyle w:val="Heading3"/>
      </w:pPr>
      <w:bookmarkStart w:id="34" w:name="_Toc34"/>
      <w:r>
        <w:t>Professionalize Agribusiness Clusters</w:t>
      </w:r>
      <w:bookmarkEnd w:id="34"/>
    </w:p>
    <w:p>
      <w:pPr>
        <w:pStyle w:val="Heading3"/>
      </w:pPr>
      <w:bookmarkStart w:id="35" w:name="_Toc35"/>
      <w:r>
        <w:t>Strengthen the enabling agribusiness environment</w:t>
      </w:r>
      <w:bookmarkEnd w:id="35"/>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308E1B39"/>
    <w:multiLevelType w:val="multilevel"/>
    <w:lvl w:ilvl="0">
      <w:start w:val="1"/>
      <w:numFmt w:val="decimal"/>
      <w:pStyle w:val="Heading1"/>
      <w:suff w:val="tab"/>
      <w:lvlText w:val="%1"/>
      <w:pPr>
        <w:tabs>
          <w:tab w:val="num"/>
        </w:tabs>
        <w:ind/>
      </w:pPr>
      <w:rPr>
        <w:rFonts/>
      </w:rPr>
    </w:lvl>
    <w:lvl w:ilvl="1">
      <w:start w:val="1"/>
      <w:numFmt w:val="decimal"/>
      <w:pStyle w:val="Heading2"/>
      <w:suff w:val="tab"/>
      <w:lvlText w:val="%1.%2"/>
      <w:pPr>
        <w:tabs>
          <w:tab w:val="num"/>
        </w:tabs>
        <w:ind/>
      </w:pPr>
      <w:rPr>
        <w:rFonts/>
      </w:rPr>
    </w:lvl>
    <w:lvl w:ilvl="2">
      <w:start w:val="1"/>
      <w:numFmt w:val="decimal"/>
      <w:pStyle w:val="Heading3"/>
      <w:suff w:val="tab"/>
      <w:lvlText w:val="%1.%2.%3"/>
      <w:pPr>
        <w:tabs>
          <w:tab w:val="num"/>
        </w:tabs>
        <w:ind/>
      </w:pPr>
      <w:rPr>
        <w:rFonts/>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sz w:val="20"/>
      <w:szCs w:val="20"/>
      <w:b w:val="1"/>
      <w:bCs w:val="1"/>
    </w:rPr>
  </w:style>
  <w:style w:type="paragraph" w:styleId="Heading2">
    <w:link w:val="Heading2Char"/>
    <w:name w:val="heading 2"/>
    <w:basedOn w:val="Normal"/>
    <w:pPr>
      <w:numPr>
        <w:numId w:val="1"/>
        <w:ilvl w:val="1"/>
      </w:numPr>
      <w:outlineLvl w:val="1"/>
    </w:pPr>
    <w:rPr>
      <w:sz w:val="20"/>
      <w:szCs w:val="20"/>
      <w:b w:val="1"/>
      <w:bCs w:val="1"/>
    </w:rPr>
  </w:style>
  <w:style w:type="paragraph" w:styleId="Heading3">
    <w:link w:val="Heading3Char"/>
    <w:name w:val="heading 3"/>
    <w:basedOn w:val="Normal"/>
    <w:pPr>
      <w:numPr>
        <w:numId w:val="1"/>
        <w:ilvl w:val="2"/>
      </w:numPr>
      <w:outlineLvl w:val="2"/>
    </w:pPr>
    <w:rPr>
      <w:sz w:val="20"/>
      <w:szCs w:val="20"/>
      <w:b w:val="1"/>
      <w:bCs w:val="1"/>
    </w:rPr>
  </w:style>
  <w:style w:type="table" w:customStyle="1" w:styleId="Rsr Table">
    <w:name w:val="Rsr Table"/>
    <w:uiPriority w:val="99"/>
    <w:tblPr>
      <w:tblW w:w="0" w:type="auto"/>
      <w:tblLayout w:type="autofit"/>
      <w:bidiVisual w:val="0"/>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2021-06-16T13:14:28+00:00</dcterms:created>
  <dcterms:modified xsi:type="dcterms:W3CDTF">2021-06-16T13:14:28+00:00</dcterms:modified>
</cp:coreProperties>
</file>

<file path=docProps/custom.xml><?xml version="1.0" encoding="utf-8"?>
<Properties xmlns="http://schemas.openxmlformats.org/officeDocument/2006/custom-properties" xmlns:vt="http://schemas.openxmlformats.org/officeDocument/2006/docPropsVTypes"/>
</file>