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1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2SCALE - Burkina Faso</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1" w:name="_Toc1"/>
      <w:r>
        <w:t>Summary of the PPPs contribution to the UIIs</w:t>
      </w:r>
      <w:bookmarkEnd w:id="1"/>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29714</w:t>
            </w:r>
          </w:p>
        </w:tc>
        <w:tc>
          <w:tcPr>
            <w:tcW w:w="700" w:type="dxa"/>
            <w:vAlign w:val="center"/>
          </w:tcPr>
          <w:p>
            <w:pPr>
              <w:jc w:val="center"/>
            </w:pPr>
            <w:r>
              <w:rPr/>
              <w:t xml:space="preserve">2258</w:t>
            </w:r>
          </w:p>
        </w:tc>
        <w:tc>
          <w:tcPr>
            <w:tcW w:w="700" w:type="dxa"/>
            <w:vAlign w:val="center"/>
          </w:tcPr>
          <w:p>
            <w:pPr>
              <w:jc w:val="center"/>
            </w:pPr>
            <w:r>
              <w:rPr/>
              <w:t xml:space="preserve">4225</w:t>
            </w:r>
          </w:p>
        </w:tc>
        <w:tc>
          <w:tcPr>
            <w:tcW w:w="700" w:type="dxa"/>
            <w:vAlign w:val="center"/>
          </w:tcPr>
          <w:p>
            <w:pPr>
              <w:jc w:val="center"/>
            </w:pPr>
            <w:r>
              <w:rPr/>
              <w:t xml:space="preserve">2414</w:t>
            </w:r>
          </w:p>
        </w:tc>
        <w:tc>
          <w:tcPr>
            <w:tcW w:w="700" w:type="dxa"/>
            <w:vAlign w:val="center"/>
          </w:tcPr>
          <w:p>
            <w:pPr>
              <w:jc w:val="center"/>
            </w:pPr>
            <w:r>
              <w:rPr/>
              <w:t xml:space="preserve">3335</w:t>
            </w:r>
          </w:p>
        </w:tc>
        <w:tc>
          <w:tcPr>
            <w:tcW w:w="1000" w:type="dxa"/>
          </w:tcPr>
          <w:p>
            <w:pPr/>
            <w:r>
              <w:rPr/>
              <w:t xml:space="preserve">2755</w:t>
            </w:r>
          </w:p>
        </w:tc>
        <w:tc>
          <w:tcPr>
            <w:tcW w:w="700" w:type="dxa"/>
            <w:vAlign w:val="center"/>
          </w:tcPr>
          <w:p>
            <w:pPr>
              <w:jc w:val="center"/>
            </w:pPr>
            <w:r>
              <w:rPr/>
              <w:t xml:space="preserve">6</w:t>
            </w:r>
          </w:p>
        </w:tc>
        <w:tc>
          <w:tcPr>
            <w:tcW w:w="700" w:type="dxa"/>
            <w:vAlign w:val="center"/>
          </w:tcPr>
          <w:p>
            <w:pPr>
              <w:jc w:val="center"/>
            </w:pPr>
            <w:r>
              <w:rPr/>
              <w:t xml:space="preserve">4</w:t>
            </w:r>
          </w:p>
        </w:tc>
        <w:tc>
          <w:tcPr>
            <w:tcW w:w="700" w:type="dxa"/>
            <w:vAlign w:val="center"/>
          </w:tcPr>
          <w:p>
            <w:pPr>
              <w:jc w:val="center"/>
            </w:pPr>
            <w:r>
              <w:rPr/>
              <w:t xml:space="preserve">18</w:t>
            </w:r>
          </w:p>
        </w:tc>
        <w:tc>
          <w:tcPr>
            <w:tcW w:w="700" w:type="dxa"/>
            <w:vAlign w:val="center"/>
          </w:tcPr>
          <w:p>
            <w:pPr>
              <w:jc w:val="center"/>
            </w:pPr>
            <w:r>
              <w:rPr/>
              <w:t xml:space="preserve">30</w:t>
            </w:r>
          </w:p>
        </w:tc>
        <w:tc>
          <w:tcPr>
            <w:tcW w:w="700" w:type="dxa"/>
            <w:vAlign w:val="center"/>
          </w:tcPr>
          <w:p>
            <w:pPr>
              <w:jc w:val="center"/>
            </w:pPr>
            <w:r>
              <w:rPr/>
              <w:t xml:space="preserve">23</w:t>
            </w:r>
          </w:p>
        </w:tc>
        <w:tc>
          <w:tcPr>
            <w:tcW w:w="700" w:type="dxa"/>
            <w:vAlign w:val="center"/>
          </w:tcPr>
          <w:p>
            <w:pPr>
              <w:jc w:val="center"/>
            </w:pPr>
            <w:r>
              <w:rPr/>
              <w:t xml:space="preserve">97</w:t>
            </w:r>
          </w:p>
        </w:tc>
        <w:tc>
          <w:tcPr>
            <w:tcW w:w="700" w:type="dxa"/>
            <w:vAlign w:val="center"/>
          </w:tcPr>
          <w:p>
            <w:pPr>
              <w:jc w:val="center"/>
            </w:pPr>
            <w:r>
              <w:rPr/>
              <w:t xml:space="preserve">15</w:t>
            </w:r>
          </w:p>
        </w:tc>
        <w:tc>
          <w:tcPr>
            <w:tcW w:w="700" w:type="dxa"/>
            <w:vAlign w:val="center"/>
          </w:tcPr>
          <w:p>
            <w:pPr>
              <w:jc w:val="center"/>
            </w:pPr>
            <w:r>
              <w:rPr/>
              <w:t xml:space="preserve">277</w:t>
            </w:r>
          </w:p>
        </w:tc>
        <w:tc>
          <w:tcPr>
            <w:tcW w:w="700" w:type="dxa"/>
            <w:vAlign w:val="center"/>
          </w:tcPr>
          <w:p>
            <w:pPr>
              <w:jc w:val="center"/>
            </w:pPr>
            <w:r>
              <w:rPr/>
              <w:t xml:space="preserve">11</w:t>
            </w:r>
          </w:p>
        </w:tc>
        <w:tc>
          <w:tcPr>
            <w:tcW w:w="700" w:type="dxa"/>
            <w:vAlign w:val="center"/>
          </w:tcPr>
          <w:p>
            <w:pPr>
              <w:jc w:val="center"/>
            </w:pPr>
            <w:r>
              <w:rPr/>
              <w:t xml:space="preserve">25</w:t>
            </w:r>
          </w:p>
        </w:tc>
        <w:tc>
          <w:tcPr>
            <w:tcW w:w="1000" w:type="dxa"/>
          </w:tcPr>
          <w:p>
            <w:pPr/>
            <w:r>
              <w:rPr/>
              <w:t xml:space="preserve">3</w:t>
            </w:r>
          </w:p>
        </w:tc>
        <w:tc>
          <w:tcPr>
            <w:tcW w:w="700" w:type="dxa"/>
            <w:vAlign w:val="center"/>
          </w:tcPr>
          <w:p>
            <w:pPr>
              <w:jc w:val="center"/>
            </w:pPr>
            <w:r>
              <w:rPr/>
              <w:t xml:space="preserve">663</w:t>
            </w:r>
          </w:p>
        </w:tc>
        <w:tc>
          <w:tcPr>
            <w:tcW w:w="700" w:type="dxa"/>
            <w:vAlign w:val="center"/>
          </w:tcPr>
          <w:p>
            <w:pPr>
              <w:jc w:val="center"/>
            </w:pPr>
            <w:r>
              <w:rPr/>
              <w:t xml:space="preserve">300</w:t>
            </w:r>
          </w:p>
        </w:tc>
        <w:tc>
          <w:tcPr>
            <w:tcW w:w="700" w:type="dxa"/>
            <w:vAlign w:val="center"/>
          </w:tcPr>
          <w:p>
            <w:pPr>
              <w:jc w:val="center"/>
            </w:pPr>
            <w:r>
              <w:rPr/>
              <w:t xml:space="preserve">2159</w:t>
            </w:r>
          </w:p>
        </w:tc>
        <w:tc>
          <w:tcPr>
            <w:tcW w:w="700" w:type="dxa"/>
            <w:vAlign w:val="center"/>
          </w:tcPr>
          <w:p>
            <w:pPr>
              <w:jc w:val="center"/>
            </w:pPr>
            <w:r>
              <w:rPr/>
              <w:t xml:space="preserve">900</w:t>
            </w:r>
          </w:p>
        </w:tc>
        <w:tc>
          <w:tcPr>
            <w:tcW w:w="700" w:type="dxa"/>
            <w:vAlign w:val="center"/>
          </w:tcPr>
          <w:p>
            <w:pPr>
              <w:jc w:val="center"/>
            </w:pPr>
            <w:r>
              <w:rPr/>
              <w:t xml:space="preserve">7</w:t>
            </w:r>
          </w:p>
        </w:tc>
        <w:tc>
          <w:tcPr>
            <w:tcW w:w="700" w:type="dxa"/>
            <w:vAlign w:val="center"/>
          </w:tcPr>
          <w:p>
            <w:pPr>
              <w:jc w:val="center"/>
            </w:pPr>
            <w:r>
              <w:rPr/>
              <w:t xml:space="preserve">26</w:t>
            </w:r>
          </w:p>
        </w:tc>
        <w:tc>
          <w:tcPr>
            <w:tcW w:w="700" w:type="dxa"/>
            <w:vAlign w:val="center"/>
          </w:tcPr>
          <w:p>
            <w:pPr>
              <w:jc w:val="center"/>
            </w:pPr>
            <w:r>
              <w:rPr/>
              <w:t xml:space="preserve">1</w:t>
            </w:r>
          </w:p>
        </w:tc>
        <w:tc>
          <w:tcPr>
            <w:tcW w:w="700" w:type="dxa"/>
            <w:vAlign w:val="center"/>
          </w:tcPr>
          <w:p>
            <w:pPr>
              <w:jc w:val="center"/>
            </w:pPr>
            <w:r>
              <w:rPr/>
              <w:t xml:space="preserve">14</w:t>
            </w:r>
          </w:p>
        </w:tc>
        <w:tc>
          <w:tcPr>
            <w:tcW w:w="700" w:type="dxa"/>
            <w:vAlign w:val="center"/>
          </w:tcPr>
          <w:p>
            <w:pPr>
              <w:jc w:val="center"/>
            </w:pPr>
            <w:r>
              <w:rPr/>
              <w:t xml:space="preserve">2</w:t>
            </w:r>
          </w:p>
        </w:tc>
        <w:tc>
          <w:tcPr>
            <w:tcW w:w="700" w:type="dxa"/>
            <w:vAlign w:val="center"/>
          </w:tcPr>
          <w:p>
            <w:pPr>
              <w:jc w:val="center"/>
            </w:pPr>
            <w:r>
              <w:rPr/>
              <w:t xml:space="preserve">1</w:t>
            </w:r>
          </w:p>
        </w:tc>
      </w:tr>
    </w:tbl>
    <w:p/>
    <w:p/>
    <w:p>
      <w:pPr>
        <w:pStyle w:val="Heading2"/>
      </w:pPr>
      <w:bookmarkStart w:id="2" w:name="_Toc2"/>
      <w:r>
        <w:t>Incubating inclusive model</w:t>
      </w:r>
      <w:bookmarkEnd w:id="2"/>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3" w:name="_Toc3"/>
      <w:r>
        <w:t>Govern and adopt inclusive agribusiness partnership</w:t>
      </w:r>
      <w:bookmarkEnd w:id="3"/>
    </w:p>
    <w:p>
      <w:pPr>
        <w:pStyle w:val="Heading3"/>
      </w:pPr>
      <w:bookmarkStart w:id="4" w:name="_Toc4"/>
      <w:r>
        <w:t>Improve access to nutritional food for the BoP consumer</w:t>
      </w:r>
      <w:bookmarkEnd w:id="4"/>
    </w:p>
    <w:p>
      <w:pPr>
        <w:pStyle w:val="Heading3"/>
      </w:pPr>
      <w:bookmarkStart w:id="5" w:name="_Toc5"/>
      <w:r>
        <w:t>Foster competitiveness and inclusiveness of the food value chain </w:t>
      </w:r>
      <w:bookmarkEnd w:id="5"/>
    </w:p>
    <w:p>
      <w:pPr>
        <w:pStyle w:val="Heading3"/>
      </w:pPr>
      <w:bookmarkStart w:id="6" w:name="_Toc6"/>
      <w:r>
        <w:t>Professionalize Agribusiness Clusters</w:t>
      </w:r>
      <w:bookmarkEnd w:id="6"/>
    </w:p>
    <w:p>
      <w:pPr>
        <w:pStyle w:val="Heading3"/>
      </w:pPr>
      <w:bookmarkStart w:id="7" w:name="_Toc7"/>
      <w:r>
        <w:t>Strengthen the enabling agribusiness environment</w:t>
      </w:r>
      <w:bookmarkEnd w:id="7"/>
    </w:p>
    <w:p>
      <w:pPr>
        <w:sectPr>
          <w:footerReference w:type="default" r:id="rId7"/>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BF21_Cassava_Nanalim</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8" w:name="_Toc8"/>
      <w:r>
        <w:t>Summary of the PPPs contribution to the UIIs</w:t>
      </w:r>
      <w:bookmarkEnd w:id="8"/>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28966</w:t>
            </w:r>
          </w:p>
        </w:tc>
        <w:tc>
          <w:tcPr>
            <w:tcW w:w="700" w:type="dxa"/>
            <w:vAlign w:val="center"/>
          </w:tcPr>
          <w:p>
            <w:pPr>
              <w:jc w:val="center"/>
            </w:pPr>
            <w:r>
              <w:rPr/>
              <w:t xml:space="preserve">580</w:t>
            </w:r>
          </w:p>
        </w:tc>
        <w:tc>
          <w:tcPr>
            <w:tcW w:w="700" w:type="dxa"/>
            <w:vAlign w:val="center"/>
          </w:tcPr>
          <w:p>
            <w:pPr>
              <w:jc w:val="center"/>
            </w:pPr>
            <w:r>
              <w:rPr/>
              <w:t xml:space="preserve">566</w:t>
            </w:r>
          </w:p>
        </w:tc>
        <w:tc>
          <w:tcPr>
            <w:tcW w:w="700" w:type="dxa"/>
            <w:vAlign w:val="center"/>
          </w:tcPr>
          <w:p>
            <w:pPr>
              <w:jc w:val="center"/>
            </w:pPr>
            <w:r>
              <w:rPr/>
              <w:t xml:space="preserve">192</w:t>
            </w:r>
          </w:p>
        </w:tc>
        <w:tc>
          <w:tcPr>
            <w:tcW w:w="700" w:type="dxa"/>
            <w:vAlign w:val="center"/>
          </w:tcPr>
          <w:p>
            <w:pPr>
              <w:jc w:val="center"/>
            </w:pPr>
            <w:r>
              <w:rPr/>
              <w:t xml:space="preserve">199</w:t>
            </w:r>
          </w:p>
        </w:tc>
        <w:tc>
          <w:tcPr>
            <w:tcW w:w="1000" w:type="dxa"/>
          </w:tcPr>
          <w:p>
            <w:pPr/>
            <w:r>
              <w:rPr/>
              <w:t xml:space="preserve">867</w:t>
            </w:r>
          </w:p>
        </w:tc>
        <w:tc>
          <w:tcPr>
            <w:tcW w:w="700" w:type="dxa"/>
            <w:vAlign w:val="center"/>
          </w:tcPr>
          <w:p>
            <w:pPr>
              <w:jc w:val="center"/>
            </w:pPr>
            <w:r>
              <w:rPr/>
              <w:t xml:space="preserve">0</w:t>
            </w:r>
          </w:p>
        </w:tc>
        <w:tc>
          <w:tcPr>
            <w:tcW w:w="700" w:type="dxa"/>
            <w:vAlign w:val="center"/>
          </w:tcPr>
          <w:p>
            <w:pPr>
              <w:jc w:val="center"/>
            </w:pPr>
            <w:r>
              <w:rPr/>
              <w:t xml:space="preserve">2</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7</w:t>
            </w:r>
          </w:p>
        </w:tc>
        <w:tc>
          <w:tcPr>
            <w:tcW w:w="700" w:type="dxa"/>
            <w:vAlign w:val="center"/>
          </w:tcPr>
          <w:p>
            <w:pPr>
              <w:jc w:val="center"/>
            </w:pPr>
            <w:r>
              <w:rPr/>
              <w:t xml:space="preserve">50</w:t>
            </w:r>
          </w:p>
        </w:tc>
        <w:tc>
          <w:tcPr>
            <w:tcW w:w="700" w:type="dxa"/>
            <w:vAlign w:val="center"/>
          </w:tcPr>
          <w:p>
            <w:pPr>
              <w:jc w:val="center"/>
            </w:pPr>
            <w:r>
              <w:rPr/>
              <w:t xml:space="preserve">0</w:t>
            </w:r>
          </w:p>
        </w:tc>
        <w:tc>
          <w:tcPr>
            <w:tcW w:w="700" w:type="dxa"/>
            <w:vAlign w:val="center"/>
          </w:tcPr>
          <w:p>
            <w:pPr>
              <w:jc w:val="center"/>
            </w:pPr>
            <w:r>
              <w:rPr/>
              <w:t xml:space="preserve">11</w:t>
            </w:r>
          </w:p>
        </w:tc>
        <w:tc>
          <w:tcPr>
            <w:tcW w:w="700" w:type="dxa"/>
            <w:vAlign w:val="center"/>
          </w:tcPr>
          <w:p>
            <w:pPr>
              <w:jc w:val="center"/>
            </w:pPr>
            <w:r>
              <w:rPr/>
              <w:t xml:space="preserve">3</w:t>
            </w:r>
          </w:p>
        </w:tc>
        <w:tc>
          <w:tcPr>
            <w:tcW w:w="700" w:type="dxa"/>
            <w:vAlign w:val="center"/>
          </w:tcPr>
          <w:p>
            <w:pPr>
              <w:jc w:val="center"/>
            </w:pPr>
            <w:r>
              <w:rPr/>
              <w:t xml:space="preserve">19</w:t>
            </w:r>
          </w:p>
        </w:tc>
        <w:tc>
          <w:tcPr>
            <w:tcW w:w="1000" w:type="dxa"/>
          </w:tcPr>
          <w:p>
            <w:pPr/>
            <w:r>
              <w:rPr/>
              <w:t xml:space="preserve">1</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4</w:t>
            </w:r>
          </w:p>
        </w:tc>
        <w:tc>
          <w:tcPr>
            <w:tcW w:w="700" w:type="dxa"/>
            <w:vAlign w:val="center"/>
          </w:tcPr>
          <w:p>
            <w:pPr>
              <w:jc w:val="center"/>
            </w:pPr>
            <w:r>
              <w:rPr/>
              <w:t xml:space="preserve">1</w:t>
            </w:r>
          </w:p>
        </w:tc>
        <w:tc>
          <w:tcPr>
            <w:tcW w:w="700" w:type="dxa"/>
            <w:vAlign w:val="center"/>
          </w:tcPr>
          <w:p>
            <w:pPr>
              <w:jc w:val="center"/>
            </w:pPr>
            <w:r>
              <w:rPr/>
              <w:t xml:space="preserve">2</w:t>
            </w:r>
          </w:p>
        </w:tc>
        <w:tc>
          <w:tcPr>
            <w:tcW w:w="700" w:type="dxa"/>
            <w:vAlign w:val="center"/>
          </w:tcPr>
          <w:p>
            <w:pPr>
              <w:jc w:val="center"/>
            </w:pPr>
            <w:r>
              <w:rPr/>
              <w:t xml:space="preserve">0</w:t>
            </w:r>
          </w:p>
        </w:tc>
        <w:tc>
          <w:tcPr>
            <w:tcW w:w="700" w:type="dxa"/>
            <w:vAlign w:val="center"/>
          </w:tcPr>
          <w:p>
            <w:pPr>
              <w:jc w:val="center"/>
            </w:pPr>
            <w:r>
              <w:rPr/>
              <w:t xml:space="preserve">1</w:t>
            </w:r>
          </w:p>
        </w:tc>
      </w:tr>
    </w:tbl>
    <w:p/>
    <w:p/>
    <w:p>
      <w:pPr>
        <w:pStyle w:val="Heading2"/>
      </w:pPr>
      <w:bookmarkStart w:id="9" w:name="_Toc9"/>
      <w:r>
        <w:t>Incubating inclusive model</w:t>
      </w:r>
      <w:bookmarkEnd w:id="9"/>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10" w:name="_Toc10"/>
      <w:r>
        <w:t>Govern and adopt inclusive agribusiness partnership</w:t>
      </w:r>
      <w:bookmarkEnd w:id="10"/>
    </w:p>
    <w:p>
      <w:pPr>
        <w:pStyle w:val="Heading3"/>
      </w:pPr>
      <w:bookmarkStart w:id="11" w:name="_Toc11"/>
      <w:r>
        <w:t>Improve access to nutritional food for the BoP consumer</w:t>
      </w:r>
      <w:bookmarkEnd w:id="11"/>
    </w:p>
    <w:p>
      <w:pPr>
        <w:pStyle w:val="Heading3"/>
      </w:pPr>
      <w:bookmarkStart w:id="12" w:name="_Toc12"/>
      <w:r>
        <w:t>Foster competitiveness and inclusiveness of the food value chain </w:t>
      </w:r>
      <w:bookmarkEnd w:id="12"/>
    </w:p>
    <w:p>
      <w:pPr>
        <w:pStyle w:val="Heading3"/>
      </w:pPr>
      <w:bookmarkStart w:id="13" w:name="_Toc13"/>
      <w:r>
        <w:t>Professionalize Agribusiness Clusters</w:t>
      </w:r>
      <w:bookmarkEnd w:id="13"/>
    </w:p>
    <w:p>
      <w:pPr>
        <w:pStyle w:val="Heading3"/>
      </w:pPr>
      <w:bookmarkStart w:id="14" w:name="_Toc14"/>
      <w:r>
        <w:t>Strengthen the enabling agribusiness environment</w:t>
      </w:r>
      <w:bookmarkEnd w:id="14"/>
    </w:p>
    <w:p>
      <w:pPr>
        <w:sectPr>
          <w:footerReference w:type="default" r:id="rId8"/>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BF22_Soja_SIATOL</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15" w:name="_Toc15"/>
      <w:r>
        <w:t>Summary of the PPPs contribution to the UIIs</w:t>
      </w:r>
      <w:bookmarkEnd w:id="15"/>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0</w:t>
            </w:r>
          </w:p>
        </w:tc>
        <w:tc>
          <w:tcPr>
            <w:tcW w:w="700" w:type="dxa"/>
            <w:vAlign w:val="center"/>
          </w:tcPr>
          <w:p>
            <w:pPr>
              <w:jc w:val="center"/>
            </w:pPr>
            <w:r>
              <w:rPr/>
              <w:t xml:space="preserve">704</w:t>
            </w:r>
          </w:p>
        </w:tc>
        <w:tc>
          <w:tcPr>
            <w:tcW w:w="700" w:type="dxa"/>
            <w:vAlign w:val="center"/>
          </w:tcPr>
          <w:p>
            <w:pPr>
              <w:jc w:val="center"/>
            </w:pPr>
            <w:r>
              <w:rPr/>
              <w:t xml:space="preserve">736</w:t>
            </w:r>
          </w:p>
        </w:tc>
        <w:tc>
          <w:tcPr>
            <w:tcW w:w="700" w:type="dxa"/>
            <w:vAlign w:val="center"/>
          </w:tcPr>
          <w:p>
            <w:pPr>
              <w:jc w:val="center"/>
            </w:pPr>
            <w:r>
              <w:rPr/>
              <w:t xml:space="preserve">1472</w:t>
            </w:r>
          </w:p>
        </w:tc>
        <w:tc>
          <w:tcPr>
            <w:tcW w:w="700" w:type="dxa"/>
            <w:vAlign w:val="center"/>
          </w:tcPr>
          <w:p>
            <w:pPr>
              <w:jc w:val="center"/>
            </w:pPr>
            <w:r>
              <w:rPr/>
              <w:t xml:space="preserve">288</w:t>
            </w:r>
          </w:p>
        </w:tc>
        <w:tc>
          <w:tcPr>
            <w:tcW w:w="1000" w:type="dxa"/>
          </w:tcPr>
          <w:p>
            <w:pPr/>
            <w:r>
              <w:rPr/>
              <w:t xml:space="preserve">0</w:t>
            </w:r>
          </w:p>
        </w:tc>
        <w:tc>
          <w:tcPr>
            <w:tcW w:w="700" w:type="dxa"/>
            <w:vAlign w:val="center"/>
          </w:tcPr>
          <w:p>
            <w:pPr>
              <w:jc w:val="center"/>
            </w:pPr>
            <w:r>
              <w:rPr/>
              <w:t xml:space="preserve">1</w:t>
            </w:r>
          </w:p>
        </w:tc>
        <w:tc>
          <w:tcPr>
            <w:tcW w:w="700" w:type="dxa"/>
            <w:vAlign w:val="center"/>
          </w:tcPr>
          <w:p>
            <w:pPr>
              <w:jc w:val="center"/>
            </w:pPr>
            <w:r>
              <w:rPr/>
              <w:t xml:space="preserve">1</w:t>
            </w:r>
          </w:p>
        </w:tc>
        <w:tc>
          <w:tcPr>
            <w:tcW w:w="700" w:type="dxa"/>
            <w:vAlign w:val="center"/>
          </w:tcPr>
          <w:p>
            <w:pPr>
              <w:jc w:val="center"/>
            </w:pPr>
            <w:r>
              <w:rPr/>
              <w:t xml:space="preserve">2</w:t>
            </w:r>
          </w:p>
        </w:tc>
        <w:tc>
          <w:tcPr>
            <w:tcW w:w="700" w:type="dxa"/>
            <w:vAlign w:val="center"/>
          </w:tcPr>
          <w:p>
            <w:pPr>
              <w:jc w:val="center"/>
            </w:pPr>
            <w:r>
              <w:rPr/>
              <w:t xml:space="preserve">25</w:t>
            </w:r>
          </w:p>
        </w:tc>
        <w:tc>
          <w:tcPr>
            <w:tcW w:w="700" w:type="dxa"/>
            <w:vAlign w:val="center"/>
          </w:tcPr>
          <w:p>
            <w:pPr>
              <w:jc w:val="center"/>
            </w:pPr>
            <w:r>
              <w:rPr/>
              <w:t xml:space="preserve">16</w:t>
            </w:r>
          </w:p>
        </w:tc>
        <w:tc>
          <w:tcPr>
            <w:tcW w:w="700" w:type="dxa"/>
            <w:vAlign w:val="center"/>
          </w:tcPr>
          <w:p>
            <w:pPr>
              <w:jc w:val="center"/>
            </w:pPr>
            <w:r>
              <w:rPr/>
              <w:t xml:space="preserve">47</w:t>
            </w:r>
          </w:p>
        </w:tc>
        <w:tc>
          <w:tcPr>
            <w:tcW w:w="700" w:type="dxa"/>
            <w:vAlign w:val="center"/>
          </w:tcPr>
          <w:p>
            <w:pPr>
              <w:jc w:val="center"/>
            </w:pPr>
            <w:r>
              <w:rPr/>
              <w:t xml:space="preserve">15</w:t>
            </w:r>
          </w:p>
        </w:tc>
        <w:tc>
          <w:tcPr>
            <w:tcW w:w="700" w:type="dxa"/>
            <w:vAlign w:val="center"/>
          </w:tcPr>
          <w:p>
            <w:pPr>
              <w:jc w:val="center"/>
            </w:pPr>
            <w:r>
              <w:rPr/>
              <w:t xml:space="preserve">10</w:t>
            </w:r>
          </w:p>
        </w:tc>
        <w:tc>
          <w:tcPr>
            <w:tcW w:w="700" w:type="dxa"/>
            <w:vAlign w:val="center"/>
          </w:tcPr>
          <w:p>
            <w:pPr>
              <w:jc w:val="center"/>
            </w:pPr>
            <w:r>
              <w:rPr/>
              <w:t xml:space="preserve">8</w:t>
            </w:r>
          </w:p>
        </w:tc>
        <w:tc>
          <w:tcPr>
            <w:tcW w:w="700" w:type="dxa"/>
            <w:vAlign w:val="center"/>
          </w:tcPr>
          <w:p>
            <w:pPr>
              <w:jc w:val="center"/>
            </w:pPr>
            <w:r>
              <w:rPr/>
              <w:t xml:space="preserve">6</w:t>
            </w:r>
          </w:p>
        </w:tc>
        <w:tc>
          <w:tcPr>
            <w:tcW w:w="1000" w:type="dxa"/>
          </w:tcPr>
          <w:p>
            <w:pPr/>
            <w:r>
              <w:rPr/>
              <w:t xml:space="preserve">1</w:t>
            </w:r>
          </w:p>
        </w:tc>
        <w:tc>
          <w:tcPr>
            <w:tcW w:w="700" w:type="dxa"/>
            <w:vAlign w:val="center"/>
          </w:tcPr>
          <w:p>
            <w:pPr>
              <w:jc w:val="center"/>
            </w:pPr>
            <w:r>
              <w:rPr/>
              <w:t xml:space="preserve">663</w:t>
            </w:r>
          </w:p>
        </w:tc>
        <w:tc>
          <w:tcPr>
            <w:tcW w:w="700" w:type="dxa"/>
            <w:vAlign w:val="center"/>
          </w:tcPr>
          <w:p>
            <w:pPr>
              <w:jc w:val="center"/>
            </w:pPr>
            <w:r>
              <w:rPr/>
              <w:t xml:space="preserve">300</w:t>
            </w:r>
          </w:p>
        </w:tc>
        <w:tc>
          <w:tcPr>
            <w:tcW w:w="700" w:type="dxa"/>
            <w:vAlign w:val="center"/>
          </w:tcPr>
          <w:p>
            <w:pPr>
              <w:jc w:val="center"/>
            </w:pPr>
            <w:r>
              <w:rPr/>
              <w:t xml:space="preserve">2159</w:t>
            </w:r>
          </w:p>
        </w:tc>
        <w:tc>
          <w:tcPr>
            <w:tcW w:w="700" w:type="dxa"/>
            <w:vAlign w:val="center"/>
          </w:tcPr>
          <w:p>
            <w:pPr>
              <w:jc w:val="center"/>
            </w:pPr>
            <w:r>
              <w:rPr/>
              <w:t xml:space="preserve">900</w:t>
            </w:r>
          </w:p>
        </w:tc>
        <w:tc>
          <w:tcPr>
            <w:tcW w:w="700" w:type="dxa"/>
            <w:vAlign w:val="center"/>
          </w:tcPr>
          <w:p>
            <w:pPr>
              <w:jc w:val="center"/>
            </w:pPr>
            <w:r>
              <w:rPr/>
              <w:t xml:space="preserve">3</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1</w:t>
            </w:r>
          </w:p>
        </w:tc>
        <w:tc>
          <w:tcPr>
            <w:tcW w:w="700" w:type="dxa"/>
            <w:vAlign w:val="center"/>
          </w:tcPr>
          <w:p>
            <w:pPr>
              <w:jc w:val="center"/>
            </w:pPr>
            <w:r>
              <w:rPr/>
              <w:t xml:space="preserve">0</w:t>
            </w:r>
          </w:p>
        </w:tc>
      </w:tr>
    </w:tbl>
    <w:p/>
    <w:p/>
    <w:p>
      <w:pPr>
        <w:pStyle w:val="Heading2"/>
      </w:pPr>
      <w:bookmarkStart w:id="16" w:name="_Toc16"/>
      <w:r>
        <w:t>Incubating inclusive model</w:t>
      </w:r>
      <w:bookmarkEnd w:id="16"/>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17" w:name="_Toc17"/>
      <w:r>
        <w:t>Govern and adopt inclusive agribusiness partnership</w:t>
      </w:r>
      <w:bookmarkEnd w:id="17"/>
    </w:p>
    <w:p>
      <w:pPr>
        <w:pStyle w:val="Heading3"/>
      </w:pPr>
      <w:bookmarkStart w:id="18" w:name="_Toc18"/>
      <w:r>
        <w:t>Improve access to nutritional food for the BoP consumer</w:t>
      </w:r>
      <w:bookmarkEnd w:id="18"/>
    </w:p>
    <w:p>
      <w:pPr>
        <w:pStyle w:val="Heading3"/>
      </w:pPr>
      <w:bookmarkStart w:id="19" w:name="_Toc19"/>
      <w:r>
        <w:t>Foster competitiveness and inclusiveness of the food value chain </w:t>
      </w:r>
      <w:bookmarkEnd w:id="19"/>
    </w:p>
    <w:p>
      <w:pPr>
        <w:pStyle w:val="Heading3"/>
      </w:pPr>
      <w:bookmarkStart w:id="20" w:name="_Toc20"/>
      <w:r>
        <w:t>Professionalize Agribusiness Clusters</w:t>
      </w:r>
      <w:bookmarkEnd w:id="20"/>
    </w:p>
    <w:p>
      <w:pPr>
        <w:pStyle w:val="Heading3"/>
      </w:pPr>
      <w:bookmarkStart w:id="21" w:name="_Toc21"/>
      <w:r>
        <w:t>Strengthen the enabling agribusiness environment</w:t>
      </w:r>
      <w:bookmarkEnd w:id="21"/>
    </w:p>
    <w:p>
      <w:pPr>
        <w:sectPr>
          <w:footerReference w:type="default" r:id="rId9"/>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BF24_Groundnuts_Innofaso TO BE DELETED</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22" w:name="_Toc22"/>
      <w:r>
        <w:t>Summary of the PPPs contribution to the UIIs</w:t>
      </w:r>
      <w:bookmarkEnd w:id="22"/>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748</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r>
    </w:tbl>
    <w:p/>
    <w:p/>
    <w:p>
      <w:pPr>
        <w:pStyle w:val="Heading2"/>
      </w:pPr>
      <w:bookmarkStart w:id="23" w:name="_Toc23"/>
      <w:r>
        <w:t>Incubating inclusive model</w:t>
      </w:r>
      <w:bookmarkEnd w:id="23"/>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24" w:name="_Toc24"/>
      <w:r>
        <w:t>Govern and adopt inclusive agribusiness partnership</w:t>
      </w:r>
      <w:bookmarkEnd w:id="24"/>
    </w:p>
    <w:p>
      <w:pPr>
        <w:pStyle w:val="Heading3"/>
      </w:pPr>
      <w:bookmarkStart w:id="25" w:name="_Toc25"/>
      <w:r>
        <w:t>Improve access to nutritional food for the BoP consumer</w:t>
      </w:r>
      <w:bookmarkEnd w:id="25"/>
    </w:p>
    <w:p>
      <w:pPr>
        <w:pStyle w:val="Heading3"/>
      </w:pPr>
      <w:bookmarkStart w:id="26" w:name="_Toc26"/>
      <w:r>
        <w:t>Foster competitiveness and inclusiveness of the food value chain </w:t>
      </w:r>
      <w:bookmarkEnd w:id="26"/>
    </w:p>
    <w:p>
      <w:pPr>
        <w:pStyle w:val="Heading3"/>
      </w:pPr>
      <w:bookmarkStart w:id="27" w:name="_Toc27"/>
      <w:r>
        <w:t>Professionalize Agribusiness Clusters</w:t>
      </w:r>
      <w:bookmarkEnd w:id="27"/>
    </w:p>
    <w:p>
      <w:pPr>
        <w:pStyle w:val="Heading3"/>
      </w:pPr>
      <w:bookmarkStart w:id="28" w:name="_Toc28"/>
      <w:r>
        <w:t>Strengthen the enabling agribusiness environment</w:t>
      </w:r>
      <w:bookmarkEnd w:id="28"/>
    </w:p>
    <w:p>
      <w:pPr>
        <w:sectPr>
          <w:footerReference w:type="default" r:id="rId10"/>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BF25_Rice_Nebnooma</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29" w:name="_Toc29"/>
      <w:r>
        <w:t>Summary of the PPPs contribution to the UIIs</w:t>
      </w:r>
      <w:bookmarkEnd w:id="29"/>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r>
    </w:tbl>
    <w:p/>
    <w:p/>
    <w:p>
      <w:pPr>
        <w:pStyle w:val="Heading2"/>
      </w:pPr>
      <w:bookmarkStart w:id="30" w:name="_Toc30"/>
      <w:r>
        <w:t>Incubating inclusive model</w:t>
      </w:r>
      <w:bookmarkEnd w:id="30"/>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31" w:name="_Toc31"/>
      <w:r>
        <w:t>Govern and adopt inclusive agribusiness partnership</w:t>
      </w:r>
      <w:bookmarkEnd w:id="31"/>
    </w:p>
    <w:p>
      <w:pPr>
        <w:pStyle w:val="Heading3"/>
      </w:pPr>
      <w:bookmarkStart w:id="32" w:name="_Toc32"/>
      <w:r>
        <w:t>Improve access to nutritional food for the BoP consumer</w:t>
      </w:r>
      <w:bookmarkEnd w:id="32"/>
    </w:p>
    <w:p>
      <w:pPr>
        <w:pStyle w:val="Heading3"/>
      </w:pPr>
      <w:bookmarkStart w:id="33" w:name="_Toc33"/>
      <w:r>
        <w:t>Foster competitiveness and inclusiveness of the food value chain </w:t>
      </w:r>
      <w:bookmarkEnd w:id="33"/>
    </w:p>
    <w:p>
      <w:pPr>
        <w:pStyle w:val="Heading3"/>
      </w:pPr>
      <w:bookmarkStart w:id="34" w:name="_Toc34"/>
      <w:r>
        <w:t>Professionalize Agribusiness Clusters</w:t>
      </w:r>
      <w:bookmarkEnd w:id="34"/>
    </w:p>
    <w:p>
      <w:pPr>
        <w:pStyle w:val="Heading3"/>
      </w:pPr>
      <w:bookmarkStart w:id="35" w:name="_Toc35"/>
      <w:r>
        <w:t>Strengthen the enabling agribusiness environment</w:t>
      </w:r>
      <w:bookmarkEnd w:id="35"/>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6CC0781"/>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20"/>
      <w:szCs w:val="20"/>
      <w:b w:val="1"/>
      <w:bCs w:val="1"/>
    </w:rPr>
  </w:style>
  <w:style w:type="paragraph" w:styleId="Heading2">
    <w:link w:val="Heading2Char"/>
    <w:name w:val="heading 2"/>
    <w:basedOn w:val="Normal"/>
    <w:pPr>
      <w:numPr>
        <w:numId w:val="1"/>
        <w:ilvl w:val="1"/>
      </w:numPr>
      <w:outlineLvl w:val="1"/>
    </w:pPr>
    <w:rPr>
      <w:sz w:val="20"/>
      <w:szCs w:val="20"/>
      <w:b w:val="1"/>
      <w:bCs w:val="1"/>
    </w:rPr>
  </w:style>
  <w:style w:type="paragraph" w:styleId="Heading3">
    <w:link w:val="Heading3Char"/>
    <w:name w:val="heading 3"/>
    <w:basedOn w:val="Normal"/>
    <w:pPr>
      <w:numPr>
        <w:numId w:val="1"/>
        <w:ilvl w:val="2"/>
      </w:numPr>
      <w:outlineLvl w:val="2"/>
    </w:pPr>
    <w:rPr>
      <w:sz w:val="20"/>
      <w:szCs w:val="20"/>
      <w:b w:val="1"/>
      <w:bCs w:val="1"/>
    </w:rPr>
  </w:style>
  <w:style w:type="table" w:customStyle="1" w:styleId="Rsr Table">
    <w:name w:val="Rsr Table"/>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 Id="rId8" Type="http://schemas.openxmlformats.org/officeDocument/2006/relationships/footer" Target="footer4.xml"/><Relationship Id="rId9" Type="http://schemas.openxmlformats.org/officeDocument/2006/relationships/footer" Target="footer7.xml"/><Relationship Id="rId10" Type="http://schemas.openxmlformats.org/officeDocument/2006/relationships/footer" Target="footer10.xml"/><Relationship Id="rId11"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2021-06-16T14:50:35+00:00</dcterms:created>
  <dcterms:modified xsi:type="dcterms:W3CDTF">2021-06-16T14:50:35+00:00</dcterms:modified>
</cp:coreProperties>
</file>

<file path=docProps/custom.xml><?xml version="1.0" encoding="utf-8"?>
<Properties xmlns="http://schemas.openxmlformats.org/officeDocument/2006/custom-properties" xmlns:vt="http://schemas.openxmlformats.org/officeDocument/2006/docPropsVTypes"/>
</file>