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2163" w14:textId="1ABF2EA9" w:rsidR="00CE6FCB" w:rsidRPr="00CE6FCB" w:rsidRDefault="00CE6FCB" w:rsidP="00584DF3">
      <w:pPr>
        <w:rPr>
          <w:b/>
          <w:bCs/>
          <w:sz w:val="44"/>
          <w:szCs w:val="44"/>
        </w:rPr>
      </w:pPr>
      <w:proofErr w:type="spellStart"/>
      <w:r w:rsidRPr="00CE6FCB">
        <w:rPr>
          <w:b/>
          <w:bCs/>
          <w:sz w:val="44"/>
          <w:szCs w:val="44"/>
        </w:rPr>
        <w:t>Sucden</w:t>
      </w:r>
      <w:proofErr w:type="spellEnd"/>
      <w:r w:rsidRPr="00CE6FCB">
        <w:rPr>
          <w:b/>
          <w:bCs/>
          <w:sz w:val="44"/>
          <w:szCs w:val="44"/>
        </w:rPr>
        <w:t xml:space="preserve"> Data delivery report</w:t>
      </w:r>
    </w:p>
    <w:p w14:paraId="336DBB8F" w14:textId="6A543ACD" w:rsidR="00CE6FCB" w:rsidRPr="00CE6FCB" w:rsidRDefault="00CE6FCB" w:rsidP="00584DF3">
      <w:pPr>
        <w:rPr>
          <w:b/>
          <w:bCs/>
          <w:sz w:val="44"/>
          <w:szCs w:val="44"/>
        </w:rPr>
      </w:pPr>
      <w:r w:rsidRPr="00CE6FCB">
        <w:rPr>
          <w:b/>
          <w:bCs/>
          <w:sz w:val="44"/>
          <w:szCs w:val="44"/>
        </w:rPr>
        <w:t>7-3-2022</w:t>
      </w:r>
    </w:p>
    <w:p w14:paraId="3C60C68E" w14:textId="77777777" w:rsidR="00CE6FCB" w:rsidRDefault="00CE6FCB" w:rsidP="00584DF3">
      <w:pPr>
        <w:rPr>
          <w:b/>
          <w:bCs/>
        </w:rPr>
      </w:pPr>
    </w:p>
    <w:p w14:paraId="6CBD3063" w14:textId="385237A2" w:rsidR="00584DF3" w:rsidRPr="00CE6FCB" w:rsidRDefault="00584DF3" w:rsidP="00584DF3">
      <w:pPr>
        <w:rPr>
          <w:rFonts w:hint="cs"/>
          <w:b/>
          <w:bCs/>
        </w:rPr>
      </w:pPr>
      <w:r w:rsidRPr="00CE6FCB">
        <w:rPr>
          <w:rFonts w:hint="cs"/>
          <w:b/>
          <w:bCs/>
        </w:rPr>
        <w:t>Introduction</w:t>
      </w:r>
    </w:p>
    <w:p w14:paraId="30F628F2" w14:textId="77777777" w:rsidR="00584DF3" w:rsidRPr="00CE6FCB" w:rsidRDefault="00584DF3" w:rsidP="00584DF3">
      <w:pPr>
        <w:rPr>
          <w:rFonts w:hint="cs"/>
        </w:rPr>
      </w:pPr>
      <w:r w:rsidRPr="00CE6FCB">
        <w:rPr>
          <w:rFonts w:hint="cs"/>
        </w:rPr>
        <w:t xml:space="preserve">This document contains details of the </w:t>
      </w:r>
      <w:proofErr w:type="spellStart"/>
      <w:r w:rsidRPr="00CE6FCB">
        <w:rPr>
          <w:rFonts w:hint="cs"/>
        </w:rPr>
        <w:t>Sucden</w:t>
      </w:r>
      <w:proofErr w:type="spellEnd"/>
      <w:r w:rsidRPr="00CE6FCB">
        <w:rPr>
          <w:rFonts w:hint="cs"/>
        </w:rPr>
        <w:t xml:space="preserve"> primary data collection and data cleaning steps. Please read the PDC process guide (</w:t>
      </w:r>
      <w:proofErr w:type="spellStart"/>
      <w:r w:rsidRPr="00CE6FCB">
        <w:rPr>
          <w:rFonts w:hint="cs"/>
        </w:rPr>
        <w:t>SamePage</w:t>
      </w:r>
      <w:proofErr w:type="spellEnd"/>
      <w:r w:rsidRPr="00CE6FCB">
        <w:rPr>
          <w:rFonts w:hint="cs"/>
        </w:rPr>
        <w:t>: Primary Data Collection) before consulting this document.</w:t>
      </w:r>
    </w:p>
    <w:p w14:paraId="6E8DA3CD" w14:textId="77777777" w:rsidR="00584DF3" w:rsidRPr="00CE6FCB" w:rsidRDefault="00584DF3" w:rsidP="00584DF3">
      <w:pPr>
        <w:rPr>
          <w:rFonts w:hint="cs"/>
        </w:rPr>
      </w:pPr>
    </w:p>
    <w:p w14:paraId="4AD1F226" w14:textId="77777777" w:rsidR="00584DF3" w:rsidRPr="00CE6FCB" w:rsidRDefault="00584DF3" w:rsidP="00584DF3">
      <w:pPr>
        <w:rPr>
          <w:rFonts w:hint="cs"/>
          <w:b/>
          <w:bCs/>
        </w:rPr>
      </w:pPr>
      <w:r w:rsidRPr="00CE6FCB">
        <w:rPr>
          <w:rFonts w:hint="cs"/>
          <w:b/>
          <w:bCs/>
        </w:rPr>
        <w:t>Number of farmers removed from the set</w:t>
      </w:r>
    </w:p>
    <w:p w14:paraId="73436D40" w14:textId="77777777" w:rsidR="00584DF3" w:rsidRPr="00CE6FCB" w:rsidRDefault="00584DF3" w:rsidP="00584DF3">
      <w:pPr>
        <w:rPr>
          <w:rFonts w:hint="cs"/>
        </w:rPr>
      </w:pPr>
      <w:r w:rsidRPr="00CE6FCB">
        <w:rPr>
          <w:rFonts w:hint="cs"/>
        </w:rPr>
        <w:t>Initially 399 farmers were targeted for this data collection.</w:t>
      </w:r>
    </w:p>
    <w:p w14:paraId="7CC31B18" w14:textId="5D5C031E" w:rsidR="00584DF3" w:rsidRPr="00CE6FCB" w:rsidRDefault="00584DF3" w:rsidP="00584DF3">
      <w:pPr>
        <w:rPr>
          <w:rFonts w:hint="cs"/>
        </w:rPr>
      </w:pPr>
      <w:r w:rsidRPr="00CE6FCB">
        <w:rPr>
          <w:rFonts w:hint="cs"/>
        </w:rPr>
        <w:t>Of the 399, 387 farmers participated.</w:t>
      </w:r>
    </w:p>
    <w:p w14:paraId="2DF0805F" w14:textId="77777777" w:rsidR="00584DF3" w:rsidRPr="00CE6FCB" w:rsidRDefault="00584DF3" w:rsidP="00584DF3">
      <w:pPr>
        <w:rPr>
          <w:rFonts w:hint="cs"/>
        </w:rPr>
      </w:pPr>
    </w:p>
    <w:p w14:paraId="63F368D1" w14:textId="1A2DA500" w:rsidR="00584DF3" w:rsidRPr="00CE6FCB" w:rsidRDefault="00584DF3" w:rsidP="00584DF3">
      <w:pPr>
        <w:rPr>
          <w:rFonts w:hint="cs"/>
          <w:b/>
          <w:bCs/>
        </w:rPr>
      </w:pPr>
      <w:r w:rsidRPr="00CE6FCB">
        <w:rPr>
          <w:rFonts w:hint="cs"/>
          <w:b/>
          <w:bCs/>
        </w:rPr>
        <w:t xml:space="preserve">Sample </w:t>
      </w:r>
      <w:r w:rsidRPr="00CE6FCB">
        <w:rPr>
          <w:rFonts w:hint="cs"/>
          <w:b/>
          <w:bCs/>
        </w:rPr>
        <w:t>characteristics</w:t>
      </w:r>
      <w:r w:rsidRPr="00CE6FCB">
        <w:rPr>
          <w:rFonts w:hint="cs"/>
          <w:b/>
          <w:bCs/>
        </w:rPr>
        <w:t>:</w:t>
      </w:r>
    </w:p>
    <w:p w14:paraId="0C0918EF" w14:textId="77777777" w:rsidR="00584DF3" w:rsidRPr="00CE6FCB" w:rsidRDefault="00584DF3" w:rsidP="00584DF3">
      <w:pPr>
        <w:rPr>
          <w:rFonts w:hint="cs"/>
        </w:rPr>
      </w:pPr>
      <w:r w:rsidRPr="00CE6FCB">
        <w:rPr>
          <w:rFonts w:hint="cs"/>
        </w:rPr>
        <w:t xml:space="preserve">To get an accurate picture of the SDM farmers we take a random sample of the farmer group. However, we often run into issues with the farmer list supplied by the SDM company. Farmers for example might not have an address and we are dependent on a local contact person to take us to the right farmer. We often find the farmer is not the farmer that is part of the sample. As the random component of sampling is very important for the reliability of our </w:t>
      </w:r>
      <w:proofErr w:type="gramStart"/>
      <w:r w:rsidRPr="00CE6FCB">
        <w:rPr>
          <w:rFonts w:hint="cs"/>
        </w:rPr>
        <w:t>findings</w:t>
      </w:r>
      <w:proofErr w:type="gramEnd"/>
      <w:r w:rsidRPr="00CE6FCB">
        <w:rPr>
          <w:rFonts w:hint="cs"/>
        </w:rPr>
        <w:t xml:space="preserve"> we try to register whether the farmers we speak to were part of the original sample.</w:t>
      </w:r>
    </w:p>
    <w:p w14:paraId="540E37BA" w14:textId="77777777" w:rsidR="00584DF3" w:rsidRPr="00CE6FCB" w:rsidRDefault="00584DF3" w:rsidP="00584DF3">
      <w:pPr>
        <w:rPr>
          <w:rFonts w:hint="cs"/>
        </w:rPr>
      </w:pPr>
    </w:p>
    <w:p w14:paraId="407CCF89" w14:textId="77777777" w:rsidR="00584DF3" w:rsidRPr="00CE6FCB" w:rsidRDefault="00584DF3" w:rsidP="00584DF3">
      <w:pPr>
        <w:rPr>
          <w:rFonts w:hint="cs"/>
        </w:rPr>
      </w:pPr>
      <w:r w:rsidRPr="00CE6FCB">
        <w:rPr>
          <w:rFonts w:hint="cs"/>
        </w:rPr>
        <w:t xml:space="preserve">The amount of farmers part of the original sample in case of </w:t>
      </w:r>
      <w:proofErr w:type="spellStart"/>
      <w:r w:rsidRPr="00CE6FCB">
        <w:rPr>
          <w:rFonts w:hint="cs"/>
        </w:rPr>
        <w:t>Sucden</w:t>
      </w:r>
      <w:proofErr w:type="spellEnd"/>
      <w:r w:rsidRPr="00CE6FCB">
        <w:rPr>
          <w:rFonts w:hint="cs"/>
        </w:rPr>
        <w:t xml:space="preserve"> can be found below:</w:t>
      </w:r>
    </w:p>
    <w:p w14:paraId="0F328301" w14:textId="22A18DB6" w:rsidR="00584DF3" w:rsidRPr="00CE6FCB" w:rsidRDefault="00584DF3" w:rsidP="00584DF3">
      <w:pPr>
        <w:rPr>
          <w:rFonts w:hint="cs"/>
        </w:rPr>
      </w:pPr>
    </w:p>
    <w:tbl>
      <w:tblPr>
        <w:tblStyle w:val="TableGrid"/>
        <w:tblW w:w="0" w:type="auto"/>
        <w:tblLook w:val="04A0" w:firstRow="1" w:lastRow="0" w:firstColumn="1" w:lastColumn="0" w:noHBand="0" w:noVBand="1"/>
      </w:tblPr>
      <w:tblGrid>
        <w:gridCol w:w="4508"/>
        <w:gridCol w:w="4508"/>
      </w:tblGrid>
      <w:tr w:rsidR="00CE6FCB" w:rsidRPr="00CE6FCB" w14:paraId="5D16E1E5" w14:textId="77777777" w:rsidTr="006776A8">
        <w:tc>
          <w:tcPr>
            <w:tcW w:w="4508" w:type="dxa"/>
          </w:tcPr>
          <w:p w14:paraId="2F90FCB8" w14:textId="261E57B8" w:rsidR="00CE6FCB" w:rsidRPr="00CE6FCB" w:rsidRDefault="00CE6FCB" w:rsidP="006776A8">
            <w:pPr>
              <w:rPr>
                <w:rFonts w:hint="cs"/>
              </w:rPr>
            </w:pPr>
            <w:r w:rsidRPr="00CE6FCB">
              <w:rPr>
                <w:rFonts w:hint="cs"/>
              </w:rPr>
              <w:t>no</w:t>
            </w:r>
          </w:p>
        </w:tc>
        <w:tc>
          <w:tcPr>
            <w:tcW w:w="4508" w:type="dxa"/>
          </w:tcPr>
          <w:p w14:paraId="683BE6EC" w14:textId="182CC5AE" w:rsidR="00CE6FCB" w:rsidRPr="00CE6FCB" w:rsidRDefault="00CE6FCB" w:rsidP="006776A8">
            <w:pPr>
              <w:rPr>
                <w:rFonts w:hint="cs"/>
              </w:rPr>
            </w:pPr>
            <w:r w:rsidRPr="00CE6FCB">
              <w:rPr>
                <w:rFonts w:hint="cs"/>
              </w:rPr>
              <w:t>28</w:t>
            </w:r>
          </w:p>
        </w:tc>
      </w:tr>
      <w:tr w:rsidR="00CE6FCB" w:rsidRPr="00CE6FCB" w14:paraId="0CD15C1F" w14:textId="77777777" w:rsidTr="006776A8">
        <w:tc>
          <w:tcPr>
            <w:tcW w:w="4508" w:type="dxa"/>
          </w:tcPr>
          <w:p w14:paraId="51E4F930" w14:textId="5FB81C49" w:rsidR="00CE6FCB" w:rsidRPr="00CE6FCB" w:rsidRDefault="00CE6FCB" w:rsidP="006776A8">
            <w:pPr>
              <w:rPr>
                <w:rFonts w:hint="cs"/>
              </w:rPr>
            </w:pPr>
            <w:proofErr w:type="gramStart"/>
            <w:r w:rsidRPr="00CE6FCB">
              <w:rPr>
                <w:rFonts w:hint="cs"/>
              </w:rPr>
              <w:t>no</w:t>
            </w:r>
            <w:proofErr w:type="gramEnd"/>
            <w:r w:rsidRPr="00CE6FCB">
              <w:rPr>
                <w:rFonts w:hint="cs"/>
              </w:rPr>
              <w:t xml:space="preserve"> he/she is an alternative for a sample farmer that was unavailable</w:t>
            </w:r>
            <w:r w:rsidRPr="00CE6FCB">
              <w:rPr>
                <w:rFonts w:hint="cs"/>
              </w:rPr>
              <w:tab/>
            </w:r>
          </w:p>
        </w:tc>
        <w:tc>
          <w:tcPr>
            <w:tcW w:w="4508" w:type="dxa"/>
          </w:tcPr>
          <w:p w14:paraId="58388EF6" w14:textId="263FBB00" w:rsidR="00CE6FCB" w:rsidRPr="00CE6FCB" w:rsidRDefault="00CE6FCB" w:rsidP="006776A8">
            <w:pPr>
              <w:rPr>
                <w:rFonts w:hint="cs"/>
              </w:rPr>
            </w:pPr>
            <w:r w:rsidRPr="00CE6FCB">
              <w:rPr>
                <w:rFonts w:hint="cs"/>
              </w:rPr>
              <w:t>90</w:t>
            </w:r>
          </w:p>
        </w:tc>
      </w:tr>
      <w:tr w:rsidR="00CE6FCB" w:rsidRPr="00CE6FCB" w14:paraId="49967DFC" w14:textId="77777777" w:rsidTr="006776A8">
        <w:tc>
          <w:tcPr>
            <w:tcW w:w="4508" w:type="dxa"/>
          </w:tcPr>
          <w:p w14:paraId="56C7C230" w14:textId="749D5440" w:rsidR="00CE6FCB" w:rsidRPr="00CE6FCB" w:rsidRDefault="00CE6FCB" w:rsidP="006776A8">
            <w:pPr>
              <w:rPr>
                <w:rFonts w:hint="cs"/>
              </w:rPr>
            </w:pPr>
            <w:r w:rsidRPr="00CE6FCB">
              <w:rPr>
                <w:rFonts w:hint="cs"/>
              </w:rPr>
              <w:t>yes</w:t>
            </w:r>
          </w:p>
        </w:tc>
        <w:tc>
          <w:tcPr>
            <w:tcW w:w="4508" w:type="dxa"/>
          </w:tcPr>
          <w:p w14:paraId="48719CBB" w14:textId="6BEB2E0A" w:rsidR="00CE6FCB" w:rsidRPr="00CE6FCB" w:rsidRDefault="00CE6FCB" w:rsidP="00CE6FCB">
            <w:pPr>
              <w:keepNext/>
              <w:rPr>
                <w:rFonts w:hint="cs"/>
              </w:rPr>
            </w:pPr>
            <w:r w:rsidRPr="00CE6FCB">
              <w:rPr>
                <w:rFonts w:hint="cs"/>
              </w:rPr>
              <w:t>2</w:t>
            </w:r>
            <w:r w:rsidRPr="00CE6FCB">
              <w:rPr>
                <w:rFonts w:hint="cs"/>
              </w:rPr>
              <w:t>69</w:t>
            </w:r>
          </w:p>
        </w:tc>
      </w:tr>
    </w:tbl>
    <w:p w14:paraId="2AC651B1" w14:textId="7BA20937" w:rsidR="00CE6FCB" w:rsidRPr="00CE6FCB" w:rsidRDefault="00CE6FCB" w:rsidP="00CE6FCB">
      <w:pPr>
        <w:pStyle w:val="Caption"/>
        <w:rPr>
          <w:rFonts w:hint="cs"/>
          <w:sz w:val="24"/>
          <w:szCs w:val="24"/>
        </w:rPr>
      </w:pPr>
      <w:r w:rsidRPr="00CE6FCB">
        <w:rPr>
          <w:rFonts w:hint="cs"/>
          <w:sz w:val="24"/>
          <w:szCs w:val="24"/>
        </w:rPr>
        <w:t xml:space="preserve">Table </w:t>
      </w:r>
      <w:r w:rsidRPr="00CE6FCB">
        <w:rPr>
          <w:rFonts w:hint="cs"/>
          <w:sz w:val="24"/>
          <w:szCs w:val="24"/>
        </w:rPr>
        <w:fldChar w:fldCharType="begin"/>
      </w:r>
      <w:r w:rsidRPr="00CE6FCB">
        <w:rPr>
          <w:rFonts w:hint="cs"/>
          <w:sz w:val="24"/>
          <w:szCs w:val="24"/>
        </w:rPr>
        <w:instrText xml:space="preserve"> SEQ Table \* ARABIC </w:instrText>
      </w:r>
      <w:r w:rsidRPr="00CE6FCB">
        <w:rPr>
          <w:rFonts w:hint="cs"/>
          <w:sz w:val="24"/>
          <w:szCs w:val="24"/>
        </w:rPr>
        <w:fldChar w:fldCharType="separate"/>
      </w:r>
      <w:r w:rsidRPr="00CE6FCB">
        <w:rPr>
          <w:rFonts w:hint="cs"/>
          <w:noProof/>
          <w:sz w:val="24"/>
          <w:szCs w:val="24"/>
        </w:rPr>
        <w:t>1</w:t>
      </w:r>
      <w:r w:rsidRPr="00CE6FCB">
        <w:rPr>
          <w:rFonts w:hint="cs"/>
          <w:sz w:val="24"/>
          <w:szCs w:val="24"/>
        </w:rPr>
        <w:fldChar w:fldCharType="end"/>
      </w:r>
    </w:p>
    <w:tbl>
      <w:tblPr>
        <w:tblStyle w:val="TableGrid"/>
        <w:tblW w:w="0" w:type="auto"/>
        <w:tblLook w:val="04A0" w:firstRow="1" w:lastRow="0" w:firstColumn="1" w:lastColumn="0" w:noHBand="0" w:noVBand="1"/>
      </w:tblPr>
      <w:tblGrid>
        <w:gridCol w:w="4508"/>
        <w:gridCol w:w="4508"/>
      </w:tblGrid>
      <w:tr w:rsidR="00CE6FCB" w:rsidRPr="00CE6FCB" w14:paraId="22C81B29" w14:textId="77777777" w:rsidTr="00004E04">
        <w:tc>
          <w:tcPr>
            <w:tcW w:w="9016" w:type="dxa"/>
            <w:gridSpan w:val="2"/>
          </w:tcPr>
          <w:p w14:paraId="0FD613F3" w14:textId="7A673B6B" w:rsidR="00CE6FCB" w:rsidRPr="00CE6FCB" w:rsidRDefault="00CE6FCB" w:rsidP="00CE6FCB">
            <w:pPr>
              <w:rPr>
                <w:rFonts w:hint="cs"/>
                <w:b/>
                <w:bCs/>
              </w:rPr>
            </w:pPr>
            <w:r w:rsidRPr="00CE6FCB">
              <w:rPr>
                <w:rFonts w:hint="cs"/>
                <w:b/>
                <w:bCs/>
              </w:rPr>
              <w:t>Cooperative name</w:t>
            </w:r>
          </w:p>
        </w:tc>
      </w:tr>
      <w:tr w:rsidR="00CE6FCB" w:rsidRPr="00CE6FCB" w14:paraId="641245EC" w14:textId="77777777" w:rsidTr="00584DF3">
        <w:tc>
          <w:tcPr>
            <w:tcW w:w="4508" w:type="dxa"/>
          </w:tcPr>
          <w:p w14:paraId="0EF9B555" w14:textId="77777777" w:rsidR="00CE6FCB" w:rsidRPr="00CE6FCB" w:rsidRDefault="00CE6FCB" w:rsidP="00CE6FCB">
            <w:pPr>
              <w:rPr>
                <w:rFonts w:hint="cs"/>
              </w:rPr>
            </w:pPr>
          </w:p>
        </w:tc>
        <w:tc>
          <w:tcPr>
            <w:tcW w:w="4508" w:type="dxa"/>
          </w:tcPr>
          <w:p w14:paraId="1CAE4177" w14:textId="7992E3A6" w:rsidR="00CE6FCB" w:rsidRPr="00CE6FCB" w:rsidRDefault="00CE6FCB" w:rsidP="00CE6FCB">
            <w:pPr>
              <w:rPr>
                <w:rFonts w:hint="cs"/>
              </w:rPr>
            </w:pPr>
            <w:r w:rsidRPr="00CE6FCB">
              <w:rPr>
                <w:rFonts w:hint="cs"/>
              </w:rPr>
              <w:t>18</w:t>
            </w:r>
          </w:p>
        </w:tc>
      </w:tr>
      <w:tr w:rsidR="00CE6FCB" w:rsidRPr="00CE6FCB" w14:paraId="125B1754" w14:textId="77777777" w:rsidTr="00584DF3">
        <w:tc>
          <w:tcPr>
            <w:tcW w:w="4508" w:type="dxa"/>
          </w:tcPr>
          <w:p w14:paraId="2C116AD1" w14:textId="1FB0E664" w:rsidR="00CE6FCB" w:rsidRPr="00CE6FCB" w:rsidRDefault="00CE6FCB" w:rsidP="00CE6FCB">
            <w:pPr>
              <w:rPr>
                <w:rFonts w:hint="cs"/>
              </w:rPr>
            </w:pPr>
            <w:proofErr w:type="spellStart"/>
            <w:r w:rsidRPr="00CE6FCB">
              <w:rPr>
                <w:rFonts w:hint="cs"/>
              </w:rPr>
              <w:t>coopagnipi</w:t>
            </w:r>
            <w:proofErr w:type="spellEnd"/>
            <w:r w:rsidRPr="00CE6FCB">
              <w:rPr>
                <w:rFonts w:hint="cs"/>
              </w:rPr>
              <w:t xml:space="preserve"> bas </w:t>
            </w:r>
            <w:proofErr w:type="spellStart"/>
            <w:r w:rsidRPr="00CE6FCB">
              <w:rPr>
                <w:rFonts w:hint="cs"/>
              </w:rPr>
              <w:t>sassandra</w:t>
            </w:r>
            <w:proofErr w:type="spellEnd"/>
            <w:r w:rsidRPr="00CE6FCB">
              <w:rPr>
                <w:rFonts w:hint="cs"/>
              </w:rPr>
              <w:t xml:space="preserve"> </w:t>
            </w:r>
            <w:proofErr w:type="spellStart"/>
            <w:r w:rsidRPr="00CE6FCB">
              <w:rPr>
                <w:rFonts w:hint="cs"/>
              </w:rPr>
              <w:t>meagui</w:t>
            </w:r>
            <w:proofErr w:type="spellEnd"/>
          </w:p>
        </w:tc>
        <w:tc>
          <w:tcPr>
            <w:tcW w:w="4508" w:type="dxa"/>
          </w:tcPr>
          <w:p w14:paraId="333BA5F9" w14:textId="566A91E0" w:rsidR="00CE6FCB" w:rsidRPr="00CE6FCB" w:rsidRDefault="00CE6FCB" w:rsidP="00CE6FCB">
            <w:pPr>
              <w:rPr>
                <w:rFonts w:hint="cs"/>
              </w:rPr>
            </w:pPr>
            <w:r w:rsidRPr="00CE6FCB">
              <w:rPr>
                <w:rFonts w:hint="cs"/>
              </w:rPr>
              <w:t>86</w:t>
            </w:r>
          </w:p>
        </w:tc>
      </w:tr>
      <w:tr w:rsidR="00CE6FCB" w:rsidRPr="00CE6FCB" w14:paraId="401F8957" w14:textId="77777777" w:rsidTr="00584DF3">
        <w:tc>
          <w:tcPr>
            <w:tcW w:w="4508" w:type="dxa"/>
          </w:tcPr>
          <w:p w14:paraId="4B9AAB23" w14:textId="0674A998" w:rsidR="00CE6FCB" w:rsidRPr="00CE6FCB" w:rsidRDefault="00CE6FCB" w:rsidP="00CE6FCB">
            <w:pPr>
              <w:rPr>
                <w:rFonts w:hint="cs"/>
              </w:rPr>
            </w:pPr>
            <w:proofErr w:type="spellStart"/>
            <w:r w:rsidRPr="00CE6FCB">
              <w:rPr>
                <w:rFonts w:hint="cs"/>
              </w:rPr>
              <w:t>ecojad</w:t>
            </w:r>
            <w:proofErr w:type="spellEnd"/>
            <w:r w:rsidRPr="00CE6FCB">
              <w:rPr>
                <w:rFonts w:hint="cs"/>
              </w:rPr>
              <w:tab/>
            </w:r>
          </w:p>
        </w:tc>
        <w:tc>
          <w:tcPr>
            <w:tcW w:w="4508" w:type="dxa"/>
          </w:tcPr>
          <w:p w14:paraId="07A42B58" w14:textId="14676956" w:rsidR="00CE6FCB" w:rsidRPr="00CE6FCB" w:rsidRDefault="00CE6FCB" w:rsidP="00CE6FCB">
            <w:pPr>
              <w:rPr>
                <w:rFonts w:hint="cs"/>
              </w:rPr>
            </w:pPr>
            <w:r w:rsidRPr="00CE6FCB">
              <w:rPr>
                <w:rFonts w:hint="cs"/>
              </w:rPr>
              <w:t>2</w:t>
            </w:r>
          </w:p>
        </w:tc>
      </w:tr>
      <w:tr w:rsidR="00CE6FCB" w:rsidRPr="00CE6FCB" w14:paraId="4016AA7B" w14:textId="77777777" w:rsidTr="00584DF3">
        <w:tc>
          <w:tcPr>
            <w:tcW w:w="4508" w:type="dxa"/>
          </w:tcPr>
          <w:p w14:paraId="14E49531" w14:textId="0434346E" w:rsidR="00CE6FCB" w:rsidRPr="00CE6FCB" w:rsidRDefault="00CE6FCB" w:rsidP="00CE6FCB">
            <w:pPr>
              <w:rPr>
                <w:rFonts w:hint="cs"/>
              </w:rPr>
            </w:pPr>
            <w:proofErr w:type="spellStart"/>
            <w:r w:rsidRPr="00CE6FCB">
              <w:rPr>
                <w:rFonts w:hint="cs"/>
              </w:rPr>
              <w:t>ecokim</w:t>
            </w:r>
            <w:proofErr w:type="spellEnd"/>
          </w:p>
        </w:tc>
        <w:tc>
          <w:tcPr>
            <w:tcW w:w="4508" w:type="dxa"/>
          </w:tcPr>
          <w:p w14:paraId="203C3053" w14:textId="76A49A09" w:rsidR="00CE6FCB" w:rsidRPr="00CE6FCB" w:rsidRDefault="00CE6FCB" w:rsidP="00CE6FCB">
            <w:pPr>
              <w:rPr>
                <w:rFonts w:hint="cs"/>
              </w:rPr>
            </w:pPr>
            <w:r w:rsidRPr="00CE6FCB">
              <w:rPr>
                <w:rFonts w:hint="cs"/>
              </w:rPr>
              <w:t>1</w:t>
            </w:r>
          </w:p>
        </w:tc>
      </w:tr>
      <w:tr w:rsidR="00CE6FCB" w:rsidRPr="00CE6FCB" w14:paraId="61927396" w14:textId="77777777" w:rsidTr="00584DF3">
        <w:tc>
          <w:tcPr>
            <w:tcW w:w="4508" w:type="dxa"/>
          </w:tcPr>
          <w:p w14:paraId="409711B7" w14:textId="46B54D06" w:rsidR="00CE6FCB" w:rsidRPr="00CE6FCB" w:rsidRDefault="00CE6FCB" w:rsidP="00CE6FCB">
            <w:pPr>
              <w:rPr>
                <w:rFonts w:hint="cs"/>
              </w:rPr>
            </w:pPr>
            <w:proofErr w:type="spellStart"/>
            <w:r w:rsidRPr="00CE6FCB">
              <w:rPr>
                <w:rFonts w:hint="cs"/>
              </w:rPr>
              <w:t>scapcca</w:t>
            </w:r>
            <w:proofErr w:type="spellEnd"/>
            <w:r w:rsidRPr="00CE6FCB">
              <w:rPr>
                <w:rFonts w:hint="cs"/>
              </w:rPr>
              <w:t xml:space="preserve"> belier </w:t>
            </w:r>
            <w:proofErr w:type="spellStart"/>
            <w:r w:rsidRPr="00CE6FCB">
              <w:rPr>
                <w:rFonts w:hint="cs"/>
              </w:rPr>
              <w:t>toumodi</w:t>
            </w:r>
            <w:proofErr w:type="spellEnd"/>
          </w:p>
        </w:tc>
        <w:tc>
          <w:tcPr>
            <w:tcW w:w="4508" w:type="dxa"/>
          </w:tcPr>
          <w:p w14:paraId="7E8F7BEF" w14:textId="227A5E4A" w:rsidR="00CE6FCB" w:rsidRPr="00CE6FCB" w:rsidRDefault="00CE6FCB" w:rsidP="00CE6FCB">
            <w:pPr>
              <w:rPr>
                <w:rFonts w:hint="cs"/>
              </w:rPr>
            </w:pPr>
            <w:r w:rsidRPr="00CE6FCB">
              <w:rPr>
                <w:rFonts w:hint="cs"/>
              </w:rPr>
              <w:t>62</w:t>
            </w:r>
          </w:p>
        </w:tc>
      </w:tr>
      <w:tr w:rsidR="00CE6FCB" w:rsidRPr="00CE6FCB" w14:paraId="569E9BF8" w14:textId="77777777" w:rsidTr="00584DF3">
        <w:tc>
          <w:tcPr>
            <w:tcW w:w="4508" w:type="dxa"/>
          </w:tcPr>
          <w:p w14:paraId="4A6933C2" w14:textId="116E2A50" w:rsidR="00CE6FCB" w:rsidRPr="00CE6FCB" w:rsidRDefault="00CE6FCB" w:rsidP="00CE6FCB">
            <w:pPr>
              <w:rPr>
                <w:rFonts w:hint="cs"/>
              </w:rPr>
            </w:pPr>
            <w:proofErr w:type="spellStart"/>
            <w:r w:rsidRPr="00CE6FCB">
              <w:rPr>
                <w:rFonts w:hint="cs"/>
              </w:rPr>
              <w:t>scoopsyat</w:t>
            </w:r>
            <w:proofErr w:type="spellEnd"/>
            <w:r w:rsidRPr="00CE6FCB">
              <w:rPr>
                <w:rFonts w:hint="cs"/>
              </w:rPr>
              <w:t xml:space="preserve"> la me </w:t>
            </w:r>
            <w:proofErr w:type="spellStart"/>
            <w:r w:rsidRPr="00CE6FCB">
              <w:rPr>
                <w:rFonts w:hint="cs"/>
              </w:rPr>
              <w:t>yakasse</w:t>
            </w:r>
            <w:proofErr w:type="spellEnd"/>
            <w:r w:rsidRPr="00CE6FCB">
              <w:rPr>
                <w:rFonts w:hint="cs"/>
              </w:rPr>
              <w:t xml:space="preserve"> </w:t>
            </w:r>
            <w:proofErr w:type="spellStart"/>
            <w:r w:rsidRPr="00CE6FCB">
              <w:rPr>
                <w:rFonts w:hint="cs"/>
              </w:rPr>
              <w:t>attobrou</w:t>
            </w:r>
            <w:proofErr w:type="spellEnd"/>
          </w:p>
        </w:tc>
        <w:tc>
          <w:tcPr>
            <w:tcW w:w="4508" w:type="dxa"/>
          </w:tcPr>
          <w:p w14:paraId="40F37364" w14:textId="0B732EB4" w:rsidR="00CE6FCB" w:rsidRPr="00CE6FCB" w:rsidRDefault="00CE6FCB" w:rsidP="00CE6FCB">
            <w:pPr>
              <w:rPr>
                <w:rFonts w:hint="cs"/>
              </w:rPr>
            </w:pPr>
            <w:r w:rsidRPr="00CE6FCB">
              <w:rPr>
                <w:rFonts w:hint="cs"/>
              </w:rPr>
              <w:t>76</w:t>
            </w:r>
          </w:p>
        </w:tc>
      </w:tr>
      <w:tr w:rsidR="00CE6FCB" w:rsidRPr="00CE6FCB" w14:paraId="4BBBE232" w14:textId="77777777" w:rsidTr="00584DF3">
        <w:tc>
          <w:tcPr>
            <w:tcW w:w="4508" w:type="dxa"/>
          </w:tcPr>
          <w:p w14:paraId="1DD24E5D" w14:textId="5B3F75AD" w:rsidR="00CE6FCB" w:rsidRPr="00CE6FCB" w:rsidRDefault="00CE6FCB" w:rsidP="00CE6FCB">
            <w:pPr>
              <w:rPr>
                <w:rFonts w:hint="cs"/>
              </w:rPr>
            </w:pPr>
            <w:r w:rsidRPr="00CE6FCB">
              <w:rPr>
                <w:rFonts w:hint="cs"/>
              </w:rPr>
              <w:t xml:space="preserve">scops </w:t>
            </w:r>
            <w:proofErr w:type="spellStart"/>
            <w:r w:rsidRPr="00CE6FCB">
              <w:rPr>
                <w:rFonts w:hint="cs"/>
              </w:rPr>
              <w:t>coopaths</w:t>
            </w:r>
            <w:proofErr w:type="spellEnd"/>
          </w:p>
        </w:tc>
        <w:tc>
          <w:tcPr>
            <w:tcW w:w="4508" w:type="dxa"/>
          </w:tcPr>
          <w:p w14:paraId="28151463" w14:textId="337F1C17" w:rsidR="00CE6FCB" w:rsidRPr="00CE6FCB" w:rsidRDefault="00CE6FCB" w:rsidP="00CE6FCB">
            <w:pPr>
              <w:rPr>
                <w:rFonts w:hint="cs"/>
              </w:rPr>
            </w:pPr>
            <w:r w:rsidRPr="00CE6FCB">
              <w:rPr>
                <w:rFonts w:hint="cs"/>
              </w:rPr>
              <w:t>1</w:t>
            </w:r>
          </w:p>
        </w:tc>
      </w:tr>
      <w:tr w:rsidR="00CE6FCB" w:rsidRPr="00CE6FCB" w14:paraId="3B0E4EFA" w14:textId="77777777" w:rsidTr="00584DF3">
        <w:tc>
          <w:tcPr>
            <w:tcW w:w="4508" w:type="dxa"/>
          </w:tcPr>
          <w:p w14:paraId="01E175E7" w14:textId="51863F10" w:rsidR="00CE6FCB" w:rsidRPr="00CE6FCB" w:rsidRDefault="00CE6FCB" w:rsidP="00CE6FCB">
            <w:pPr>
              <w:rPr>
                <w:rFonts w:hint="cs"/>
              </w:rPr>
            </w:pPr>
            <w:proofErr w:type="spellStart"/>
            <w:r w:rsidRPr="00CE6FCB">
              <w:rPr>
                <w:rFonts w:hint="cs"/>
              </w:rPr>
              <w:t>socoofem</w:t>
            </w:r>
            <w:proofErr w:type="spellEnd"/>
            <w:r w:rsidRPr="00CE6FCB">
              <w:rPr>
                <w:rFonts w:hint="cs"/>
              </w:rPr>
              <w:t xml:space="preserve"> </w:t>
            </w:r>
            <w:proofErr w:type="spellStart"/>
            <w:r w:rsidRPr="00CE6FCB">
              <w:rPr>
                <w:rFonts w:hint="cs"/>
              </w:rPr>
              <w:t>marahoue</w:t>
            </w:r>
            <w:proofErr w:type="spellEnd"/>
            <w:r w:rsidRPr="00CE6FCB">
              <w:rPr>
                <w:rFonts w:hint="cs"/>
              </w:rPr>
              <w:t xml:space="preserve"> </w:t>
            </w:r>
            <w:proofErr w:type="spellStart"/>
            <w:r w:rsidRPr="00CE6FCB">
              <w:rPr>
                <w:rFonts w:hint="cs"/>
              </w:rPr>
              <w:t>bouafle</w:t>
            </w:r>
            <w:proofErr w:type="spellEnd"/>
            <w:r w:rsidRPr="00CE6FCB">
              <w:rPr>
                <w:rFonts w:hint="cs"/>
              </w:rPr>
              <w:tab/>
            </w:r>
          </w:p>
        </w:tc>
        <w:tc>
          <w:tcPr>
            <w:tcW w:w="4508" w:type="dxa"/>
          </w:tcPr>
          <w:p w14:paraId="4174DB4F" w14:textId="0465177D" w:rsidR="00CE6FCB" w:rsidRPr="00CE6FCB" w:rsidRDefault="00CE6FCB" w:rsidP="00CE6FCB">
            <w:pPr>
              <w:keepNext/>
              <w:rPr>
                <w:rFonts w:hint="cs"/>
              </w:rPr>
            </w:pPr>
            <w:r w:rsidRPr="00CE6FCB">
              <w:rPr>
                <w:rFonts w:hint="cs"/>
              </w:rPr>
              <w:t>85</w:t>
            </w:r>
          </w:p>
        </w:tc>
      </w:tr>
      <w:tr w:rsidR="00584DF3" w:rsidRPr="00CE6FCB" w14:paraId="71FA99EB" w14:textId="77777777" w:rsidTr="00584DF3">
        <w:tc>
          <w:tcPr>
            <w:tcW w:w="4508" w:type="dxa"/>
          </w:tcPr>
          <w:p w14:paraId="109E4CF5" w14:textId="2C07E24A" w:rsidR="00584DF3" w:rsidRPr="00CE6FCB" w:rsidRDefault="00584DF3" w:rsidP="00584DF3">
            <w:pPr>
              <w:rPr>
                <w:rFonts w:hint="cs"/>
              </w:rPr>
            </w:pPr>
            <w:proofErr w:type="spellStart"/>
            <w:r w:rsidRPr="00CE6FCB">
              <w:rPr>
                <w:rFonts w:hint="cs"/>
              </w:rPr>
              <w:t>socopad</w:t>
            </w:r>
            <w:proofErr w:type="spellEnd"/>
          </w:p>
        </w:tc>
        <w:tc>
          <w:tcPr>
            <w:tcW w:w="4508" w:type="dxa"/>
          </w:tcPr>
          <w:p w14:paraId="23FB1252" w14:textId="0137539E" w:rsidR="00584DF3" w:rsidRPr="00CE6FCB" w:rsidRDefault="00CE6FCB" w:rsidP="00584DF3">
            <w:pPr>
              <w:keepNext/>
              <w:rPr>
                <w:rFonts w:hint="cs"/>
              </w:rPr>
            </w:pPr>
            <w:r w:rsidRPr="00CE6FCB">
              <w:rPr>
                <w:rFonts w:hint="cs"/>
              </w:rPr>
              <w:t>27</w:t>
            </w:r>
          </w:p>
        </w:tc>
      </w:tr>
      <w:tr w:rsidR="00584DF3" w:rsidRPr="00CE6FCB" w14:paraId="6ECF8581" w14:textId="77777777" w:rsidTr="00584DF3">
        <w:tc>
          <w:tcPr>
            <w:tcW w:w="4508" w:type="dxa"/>
          </w:tcPr>
          <w:p w14:paraId="0F553BB8" w14:textId="76519CB9" w:rsidR="00584DF3" w:rsidRPr="00CE6FCB" w:rsidRDefault="00584DF3" w:rsidP="00584DF3">
            <w:pPr>
              <w:rPr>
                <w:rFonts w:hint="cs"/>
              </w:rPr>
            </w:pPr>
            <w:proofErr w:type="spellStart"/>
            <w:r w:rsidRPr="00CE6FCB">
              <w:rPr>
                <w:rFonts w:hint="cs"/>
              </w:rPr>
              <w:t>socopad</w:t>
            </w:r>
            <w:proofErr w:type="spellEnd"/>
            <w:r w:rsidRPr="00CE6FCB">
              <w:rPr>
                <w:rFonts w:hint="cs"/>
              </w:rPr>
              <w:t xml:space="preserve"> haut </w:t>
            </w:r>
            <w:proofErr w:type="spellStart"/>
            <w:r w:rsidRPr="00CE6FCB">
              <w:rPr>
                <w:rFonts w:hint="cs"/>
              </w:rPr>
              <w:t>sassandra</w:t>
            </w:r>
            <w:proofErr w:type="spellEnd"/>
            <w:r w:rsidRPr="00CE6FCB">
              <w:rPr>
                <w:rFonts w:hint="cs"/>
              </w:rPr>
              <w:t xml:space="preserve"> </w:t>
            </w:r>
            <w:proofErr w:type="spellStart"/>
            <w:r w:rsidRPr="00CE6FCB">
              <w:rPr>
                <w:rFonts w:hint="cs"/>
              </w:rPr>
              <w:t>daloa</w:t>
            </w:r>
            <w:proofErr w:type="spellEnd"/>
          </w:p>
        </w:tc>
        <w:tc>
          <w:tcPr>
            <w:tcW w:w="4508" w:type="dxa"/>
          </w:tcPr>
          <w:p w14:paraId="53E0B6BE" w14:textId="18F1D2D0" w:rsidR="00584DF3" w:rsidRPr="00CE6FCB" w:rsidRDefault="00CE6FCB" w:rsidP="00584DF3">
            <w:pPr>
              <w:keepNext/>
              <w:rPr>
                <w:rFonts w:hint="cs"/>
              </w:rPr>
            </w:pPr>
            <w:r w:rsidRPr="00CE6FCB">
              <w:rPr>
                <w:rFonts w:hint="cs"/>
              </w:rPr>
              <w:t>29</w:t>
            </w:r>
          </w:p>
        </w:tc>
      </w:tr>
    </w:tbl>
    <w:p w14:paraId="0707A65A" w14:textId="2F223E71" w:rsidR="00584DF3" w:rsidRPr="00CE6FCB" w:rsidRDefault="00584DF3" w:rsidP="00584DF3">
      <w:pPr>
        <w:pStyle w:val="Caption"/>
        <w:rPr>
          <w:rFonts w:hint="cs"/>
          <w:sz w:val="24"/>
          <w:szCs w:val="24"/>
        </w:rPr>
      </w:pPr>
      <w:r w:rsidRPr="00CE6FCB">
        <w:rPr>
          <w:rFonts w:hint="cs"/>
          <w:sz w:val="24"/>
          <w:szCs w:val="24"/>
        </w:rPr>
        <w:t xml:space="preserve">Table </w:t>
      </w:r>
      <w:r w:rsidRPr="00CE6FCB">
        <w:rPr>
          <w:rFonts w:hint="cs"/>
          <w:sz w:val="24"/>
          <w:szCs w:val="24"/>
        </w:rPr>
        <w:fldChar w:fldCharType="begin"/>
      </w:r>
      <w:r w:rsidRPr="00CE6FCB">
        <w:rPr>
          <w:rFonts w:hint="cs"/>
          <w:sz w:val="24"/>
          <w:szCs w:val="24"/>
        </w:rPr>
        <w:instrText xml:space="preserve"> SEQ Table \* ARABIC </w:instrText>
      </w:r>
      <w:r w:rsidRPr="00CE6FCB">
        <w:rPr>
          <w:rFonts w:hint="cs"/>
          <w:sz w:val="24"/>
          <w:szCs w:val="24"/>
        </w:rPr>
        <w:fldChar w:fldCharType="separate"/>
      </w:r>
      <w:r w:rsidR="00CE6FCB" w:rsidRPr="00CE6FCB">
        <w:rPr>
          <w:rFonts w:hint="cs"/>
          <w:noProof/>
          <w:sz w:val="24"/>
          <w:szCs w:val="24"/>
        </w:rPr>
        <w:t>2</w:t>
      </w:r>
      <w:r w:rsidRPr="00CE6FCB">
        <w:rPr>
          <w:rFonts w:hint="cs"/>
          <w:sz w:val="24"/>
          <w:szCs w:val="24"/>
        </w:rPr>
        <w:fldChar w:fldCharType="end"/>
      </w:r>
    </w:p>
    <w:p w14:paraId="08C0A46F" w14:textId="6170EE5E" w:rsidR="00584DF3" w:rsidRPr="00CE6FCB" w:rsidRDefault="00584DF3" w:rsidP="00584DF3">
      <w:pPr>
        <w:rPr>
          <w:rFonts w:hint="cs"/>
        </w:rPr>
      </w:pPr>
    </w:p>
    <w:p w14:paraId="19159151" w14:textId="77777777" w:rsidR="00584DF3" w:rsidRPr="00CE6FCB" w:rsidRDefault="00584DF3" w:rsidP="00584DF3">
      <w:pPr>
        <w:pStyle w:val="Heading4"/>
        <w:shd w:val="clear" w:color="auto" w:fill="FFFFFF"/>
        <w:spacing w:before="150" w:after="150"/>
        <w:rPr>
          <w:rFonts w:ascii="Assistant" w:hAnsi="Assistant" w:cs="Assistant" w:hint="cs"/>
          <w:color w:val="333333"/>
          <w:lang w:val="en-NL"/>
        </w:rPr>
      </w:pPr>
      <w:r w:rsidRPr="00CE6FCB">
        <w:rPr>
          <w:rFonts w:ascii="Assistant" w:hAnsi="Assistant" w:cs="Assistant" w:hint="cs"/>
          <w:b/>
          <w:bCs/>
          <w:color w:val="333333"/>
        </w:rPr>
        <w:lastRenderedPageBreak/>
        <w:t>Introduction</w:t>
      </w:r>
    </w:p>
    <w:p w14:paraId="6B749F79"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This document contains an overview of the different steps that are taken to clean the FarmFit data for the Sucden. These steps have been drawn up in cooperation with IDH-FarmFit analysts and will be discussed in the following order:</w:t>
      </w:r>
    </w:p>
    <w:p w14:paraId="7416D6FF"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Removing Farmers from the Set</w:t>
      </w:r>
    </w:p>
    <w:p w14:paraId="2B42E029"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Text cleaning</w:t>
      </w:r>
    </w:p>
    <w:p w14:paraId="3F9E518C"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Determining and handling outliers</w:t>
      </w:r>
    </w:p>
    <w:p w14:paraId="37AB3ABB"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Looking at missing values</w:t>
      </w:r>
    </w:p>
    <w:p w14:paraId="3EF8EDBA"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Anonymizing</w:t>
      </w:r>
    </w:p>
    <w:p w14:paraId="6EC4D195"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Repeated question groups</w:t>
      </w:r>
    </w:p>
    <w:p w14:paraId="0FA9393E" w14:textId="77777777" w:rsidR="00584DF3" w:rsidRPr="00CE6FCB" w:rsidRDefault="00584DF3" w:rsidP="00584DF3">
      <w:pPr>
        <w:numPr>
          <w:ilvl w:val="0"/>
          <w:numId w:val="3"/>
        </w:numPr>
        <w:shd w:val="clear" w:color="auto" w:fill="FFFFFF"/>
        <w:spacing w:before="100" w:beforeAutospacing="1" w:after="100" w:afterAutospacing="1"/>
        <w:jc w:val="left"/>
        <w:rPr>
          <w:rFonts w:hint="cs"/>
          <w:color w:val="333333"/>
        </w:rPr>
      </w:pPr>
      <w:r w:rsidRPr="00CE6FCB">
        <w:rPr>
          <w:rFonts w:hint="cs"/>
          <w:color w:val="333333"/>
        </w:rPr>
        <w:t>Case specific adjustments</w:t>
      </w:r>
    </w:p>
    <w:p w14:paraId="6A05B997"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Removing Farmers from the Set</w:t>
      </w:r>
    </w:p>
    <w:p w14:paraId="78ADCD4A"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At the moment farmers are only removed with they refuse to participate to the survey. The only data we have from these farmers is the name, location and sometimes a phone number.</w:t>
      </w:r>
    </w:p>
    <w:p w14:paraId="3EA97E41"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Text Cleaning</w:t>
      </w:r>
    </w:p>
    <w:p w14:paraId="075D4C86"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In order to make the FarmFit data more accessible a few general steps are taken to clean the data.</w:t>
      </w:r>
    </w:p>
    <w:p w14:paraId="214D5A0B"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All columns and text values are set to lower case</w:t>
      </w:r>
    </w:p>
    <w:p w14:paraId="2F8415AA"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Flow sets spaces to points; we set them to ‘_’.</w:t>
      </w:r>
    </w:p>
    <w:p w14:paraId="793FE10A"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Dummy variables get the prefix ‘</w:t>
      </w:r>
      <w:proofErr w:type="gramStart"/>
      <w:r w:rsidRPr="00CE6FCB">
        <w:rPr>
          <w:rFonts w:hint="cs"/>
          <w:color w:val="333333"/>
        </w:rPr>
        <w:t>X..OPTION</w:t>
      </w:r>
      <w:proofErr w:type="gramEnd"/>
      <w:r w:rsidRPr="00CE6FCB">
        <w:rPr>
          <w:rFonts w:hint="cs"/>
          <w:color w:val="333333"/>
        </w:rPr>
        <w:t>…’ by Flow, these are removed from the cleaned data set.</w:t>
      </w:r>
    </w:p>
    <w:p w14:paraId="22A92503"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A few free text options that have been found often in the data are set to similar text in order to make them comparable. An example is: ‘</w:t>
      </w:r>
      <w:proofErr w:type="spellStart"/>
      <w:r w:rsidRPr="00CE6FCB">
        <w:rPr>
          <w:rFonts w:hint="cs"/>
          <w:color w:val="333333"/>
        </w:rPr>
        <w:t>dont</w:t>
      </w:r>
      <w:proofErr w:type="spellEnd"/>
      <w:r w:rsidRPr="00CE6FCB">
        <w:rPr>
          <w:rFonts w:hint="cs"/>
          <w:color w:val="333333"/>
        </w:rPr>
        <w:t xml:space="preserve"> know’, ‘doesn’t know’, ‘I am not sure’ are all changed to: ‘I don’t know’.</w:t>
      </w:r>
    </w:p>
    <w:p w14:paraId="4DFD989D"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In case the measurement of crop is supplied by farmers in bags, boxes, crates, etc. In the survey the farmer is asked about the number of kilograms the applicable measurement contains. In the cleaned data the measurements are set to kilograms, which can be seen in the column heading (_kg).</w:t>
      </w:r>
    </w:p>
    <w:p w14:paraId="14D4A58A"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A measurement of an area is generally supplied by farmers in acres, kilometers squared or hectares. In the cleaned data the measurements are set to acres, which can be seen in the column heading (_acre).</w:t>
      </w:r>
    </w:p>
    <w:p w14:paraId="3CDF6531" w14:textId="77777777" w:rsidR="00584DF3" w:rsidRPr="00CE6FCB" w:rsidRDefault="00584DF3" w:rsidP="00584DF3">
      <w:pPr>
        <w:numPr>
          <w:ilvl w:val="0"/>
          <w:numId w:val="4"/>
        </w:numPr>
        <w:shd w:val="clear" w:color="auto" w:fill="FFFFFF"/>
        <w:spacing w:before="100" w:beforeAutospacing="1" w:after="100" w:afterAutospacing="1"/>
        <w:jc w:val="left"/>
        <w:rPr>
          <w:rFonts w:hint="cs"/>
          <w:color w:val="333333"/>
        </w:rPr>
      </w:pPr>
      <w:r w:rsidRPr="00CE6FCB">
        <w:rPr>
          <w:rFonts w:hint="cs"/>
          <w:color w:val="333333"/>
        </w:rPr>
        <w:t xml:space="preserve">Some redundant columns are removed, for example columns with Flow details unimportant for the </w:t>
      </w:r>
      <w:proofErr w:type="spellStart"/>
      <w:r w:rsidRPr="00CE6FCB">
        <w:rPr>
          <w:rFonts w:hint="cs"/>
          <w:color w:val="333333"/>
        </w:rPr>
        <w:t>FarmFit</w:t>
      </w:r>
      <w:proofErr w:type="spellEnd"/>
      <w:r w:rsidRPr="00CE6FCB">
        <w:rPr>
          <w:rFonts w:hint="cs"/>
          <w:color w:val="333333"/>
        </w:rPr>
        <w:t xml:space="preserve"> analyses.</w:t>
      </w:r>
    </w:p>
    <w:p w14:paraId="6139DC45"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Determining and Handling Outliers</w:t>
      </w:r>
    </w:p>
    <w:p w14:paraId="03C42A3F"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 xml:space="preserve">To determine outliers for the numerical questions of the survey, a cut off of three standard deviations from the corresponding mean is set. All values are compared to this cut off. </w:t>
      </w:r>
      <w:r w:rsidRPr="00CE6FCB">
        <w:rPr>
          <w:rFonts w:ascii="Assistant" w:hAnsi="Assistant" w:cs="Assistant" w:hint="cs"/>
          <w:color w:val="333333"/>
        </w:rPr>
        <w:lastRenderedPageBreak/>
        <w:t>When the value is either higher than three standard deviations above the mean or lower than three standard deviations below the mean, it is set to ‘9997’.</w:t>
      </w:r>
    </w:p>
    <w:p w14:paraId="17956AF0"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Looking at Missing Values</w:t>
      </w:r>
    </w:p>
    <w:p w14:paraId="5A342791"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The structure of the FarmFit survey prevents having actual missing values. All multiple-choice questions have the options ‘I don’t know’ and ‘I prefer not to say’ and are mandatory. The numerical questions are also mandatory. Enumerators are instructed to answer them with ‘9999’ in case a farmer doesn’t know the answer, and ‘9998’ when the farmer doesn’t want to give the answer. This way all missing values are defined. In case of numerical questions, these values are not usable in aggregations and will give incorrect descriptive values. Therefore, all values containing ‘9999’, ‘9998’ and ‘9997’, resulting from outlier handling, are set to ‘NA’.</w:t>
      </w:r>
    </w:p>
    <w:p w14:paraId="1DDED03A"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Anonymizing</w:t>
      </w:r>
    </w:p>
    <w:p w14:paraId="07E6FFCA"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In order to anonymize the data farmer names, phone numbers, geolocation (longitude and latitude) and location except from the district is removed from the set.</w:t>
      </w:r>
    </w:p>
    <w:p w14:paraId="43EF9D22"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Repeated question groups</w:t>
      </w:r>
    </w:p>
    <w:p w14:paraId="5A6BF665"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When recording the amount of crop produced, sold, lost or used for own consumption, we use ‘repeated question groups’. This means farmers can procide input per season or for the whole year. In the cleaned data we only present one row of calculated values for each farmer. So if farmers reported production for 2 seasons, cal_focus_quant_prod_kg captures the total production during 2 seasons. For the amount produced, sold, lost and used for own consumption, we add the values of every season to get an idea of what happens throughout the year.</w:t>
      </w:r>
    </w:p>
    <w:p w14:paraId="7AD860BF" w14:textId="77777777" w:rsidR="00584DF3" w:rsidRPr="00CE6FCB" w:rsidRDefault="00584DF3" w:rsidP="00584DF3">
      <w:pPr>
        <w:pStyle w:val="Heading4"/>
        <w:shd w:val="clear" w:color="auto" w:fill="FFFFFF"/>
        <w:spacing w:before="150" w:after="150"/>
        <w:rPr>
          <w:rFonts w:ascii="Assistant" w:hAnsi="Assistant" w:cs="Assistant" w:hint="cs"/>
          <w:color w:val="333333"/>
        </w:rPr>
      </w:pPr>
      <w:r w:rsidRPr="00CE6FCB">
        <w:rPr>
          <w:rFonts w:ascii="Assistant" w:hAnsi="Assistant" w:cs="Assistant" w:hint="cs"/>
          <w:b/>
          <w:bCs/>
          <w:color w:val="333333"/>
        </w:rPr>
        <w:t>Case specific adjustments</w:t>
      </w:r>
    </w:p>
    <w:p w14:paraId="5A047A58"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We learned that farmers reported the price in one of the 2 following ways: approach 1) The price per bag of cocoa or approach 2) the price per kg of cocoa. The variable cal_focus_price captures the price per kg, which is either calculated in case of approach 1, or the price that was reported by the farmers (approach 2).From experts we learned that the price/kg ranges from 700-1000CFA/kg depending on the time of the year. We have not adjusted data of farmers that reported a price above or below this range considering agreements made with IDH, however this is a suggested step of data cleaning.</w:t>
      </w:r>
    </w:p>
    <w:p w14:paraId="78D65EA7"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Likewise, farmers reported the quantities produced in different ways: approach 1) The quantity in metric tons, 2) the number of bags, 3) the total quantities in kg. The variable cal_focus_quant_prod_kg, cal_focus_quant_sold_kg, cal_focus_quant_lost_kg,report the total quantities. In case farmers applied approach 1 or 2, we conducted calculations to come to the total quantity produced. The variable “quantities_interpretation” reflects how the quantities should be interpreted. This list was consulted with all enumerators.</w:t>
      </w:r>
    </w:p>
    <w:p w14:paraId="52FA20F5" w14:textId="77777777" w:rsidR="00584DF3" w:rsidRPr="00CE6FCB" w:rsidRDefault="00584DF3" w:rsidP="00584DF3">
      <w:pPr>
        <w:pStyle w:val="NormalWeb"/>
        <w:shd w:val="clear" w:color="auto" w:fill="FFFFFF"/>
        <w:spacing w:before="0" w:beforeAutospacing="0" w:after="150" w:afterAutospacing="0"/>
        <w:rPr>
          <w:rFonts w:ascii="Assistant" w:hAnsi="Assistant" w:cs="Assistant" w:hint="cs"/>
          <w:color w:val="333333"/>
        </w:rPr>
      </w:pPr>
      <w:r w:rsidRPr="00CE6FCB">
        <w:rPr>
          <w:rFonts w:ascii="Assistant" w:hAnsi="Assistant" w:cs="Assistant" w:hint="cs"/>
          <w:color w:val="333333"/>
        </w:rPr>
        <w:t>In the majority of cases, farmers sell all that they produce.</w:t>
      </w:r>
    </w:p>
    <w:p w14:paraId="44758741" w14:textId="77777777" w:rsidR="00584DF3" w:rsidRPr="00CE6FCB" w:rsidRDefault="00584DF3" w:rsidP="00584DF3">
      <w:pPr>
        <w:rPr>
          <w:rFonts w:hint="cs"/>
          <w:lang w:val="en-NL"/>
        </w:rPr>
      </w:pPr>
    </w:p>
    <w:sectPr w:rsidR="00584DF3" w:rsidRPr="00CE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panose1 w:val="020B0604020202020204"/>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ssistant">
    <w:panose1 w:val="020B0604020202020204"/>
    <w:charset w:val="B1"/>
    <w:family w:val="auto"/>
    <w:pitch w:val="variable"/>
    <w:sig w:usb0="00000803" w:usb1="40000000" w:usb2="00000000" w:usb3="00000000" w:csb0="0000002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54D"/>
    <w:multiLevelType w:val="multilevel"/>
    <w:tmpl w:val="0712A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334258"/>
    <w:multiLevelType w:val="multilevel"/>
    <w:tmpl w:val="DA7431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8407BD"/>
    <w:multiLevelType w:val="multilevel"/>
    <w:tmpl w:val="D1A2BC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Roboto Condensed" w:hAnsi="Roboto Condensed" w:hint="default"/>
        <w:b/>
        <w:bCs/>
        <w:i w:val="0"/>
        <w:iCs w:val="0"/>
        <w:color w:val="54AE8D"/>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3"/>
    <w:rsid w:val="0010681D"/>
    <w:rsid w:val="00383ECE"/>
    <w:rsid w:val="00584DF3"/>
    <w:rsid w:val="00A2435C"/>
    <w:rsid w:val="00CE6FCB"/>
    <w:rsid w:val="00E327E3"/>
    <w:rsid w:val="00E74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1EFF43C"/>
  <w15:chartTrackingRefBased/>
  <w15:docId w15:val="{02CDDDFD-F4C9-6F41-A197-CD581FD8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CE"/>
    <w:pPr>
      <w:jc w:val="both"/>
    </w:pPr>
    <w:rPr>
      <w:rFonts w:ascii="Assistant" w:hAnsi="Assistant" w:cs="Assistant"/>
      <w:lang w:val="en-US"/>
    </w:rPr>
  </w:style>
  <w:style w:type="paragraph" w:styleId="Heading1">
    <w:name w:val="heading 1"/>
    <w:basedOn w:val="Normal"/>
    <w:next w:val="Normal"/>
    <w:link w:val="Heading1Char"/>
    <w:autoRedefine/>
    <w:uiPriority w:val="9"/>
    <w:qFormat/>
    <w:rsid w:val="00383ECE"/>
    <w:pPr>
      <w:keepNext/>
      <w:keepLines/>
      <w:numPr>
        <w:numId w:val="2"/>
      </w:numPr>
      <w:spacing w:before="240"/>
      <w:ind w:right="-57"/>
      <w:outlineLvl w:val="0"/>
    </w:pPr>
    <w:rPr>
      <w:rFonts w:ascii="Roboto Condensed" w:eastAsiaTheme="majorEastAsia" w:hAnsi="Roboto Condensed" w:cstheme="majorBidi"/>
      <w:b/>
      <w:bCs/>
      <w:color w:val="3B3838" w:themeColor="background2" w:themeShade="40"/>
      <w:sz w:val="72"/>
      <w:szCs w:val="72"/>
      <w:lang w:val="nl-NL"/>
    </w:rPr>
  </w:style>
  <w:style w:type="paragraph" w:styleId="Heading2">
    <w:name w:val="heading 2"/>
    <w:basedOn w:val="Normal"/>
    <w:next w:val="Normal"/>
    <w:link w:val="Heading2Char"/>
    <w:autoRedefine/>
    <w:uiPriority w:val="9"/>
    <w:unhideWhenUsed/>
    <w:qFormat/>
    <w:rsid w:val="00383ECE"/>
    <w:pPr>
      <w:keepNext/>
      <w:keepLines/>
      <w:numPr>
        <w:ilvl w:val="1"/>
        <w:numId w:val="1"/>
      </w:numPr>
      <w:spacing w:before="40"/>
      <w:outlineLvl w:val="1"/>
    </w:pPr>
    <w:rPr>
      <w:rFonts w:ascii="Roboto Condensed" w:eastAsiaTheme="majorEastAsia" w:hAnsi="Roboto Condensed" w:cstheme="majorBidi"/>
      <w:b/>
      <w:bCs/>
      <w:color w:val="54AE8D"/>
      <w:sz w:val="40"/>
      <w:szCs w:val="40"/>
      <w:lang w:val="nl-NL"/>
    </w:rPr>
  </w:style>
  <w:style w:type="paragraph" w:styleId="Heading4">
    <w:name w:val="heading 4"/>
    <w:basedOn w:val="Normal"/>
    <w:next w:val="Normal"/>
    <w:link w:val="Heading4Char"/>
    <w:uiPriority w:val="9"/>
    <w:semiHidden/>
    <w:unhideWhenUsed/>
    <w:qFormat/>
    <w:rsid w:val="00584D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ECE"/>
    <w:rPr>
      <w:rFonts w:ascii="Roboto Condensed" w:eastAsiaTheme="majorEastAsia" w:hAnsi="Roboto Condensed" w:cstheme="majorBidi"/>
      <w:b/>
      <w:bCs/>
      <w:color w:val="3B3838" w:themeColor="background2" w:themeShade="40"/>
      <w:sz w:val="72"/>
      <w:szCs w:val="72"/>
      <w:lang w:val="nl-NL"/>
    </w:rPr>
  </w:style>
  <w:style w:type="character" w:customStyle="1" w:styleId="Heading2Char">
    <w:name w:val="Heading 2 Char"/>
    <w:basedOn w:val="DefaultParagraphFont"/>
    <w:link w:val="Heading2"/>
    <w:uiPriority w:val="9"/>
    <w:rsid w:val="00383ECE"/>
    <w:rPr>
      <w:rFonts w:ascii="Roboto Condensed" w:eastAsiaTheme="majorEastAsia" w:hAnsi="Roboto Condensed" w:cstheme="majorBidi"/>
      <w:b/>
      <w:bCs/>
      <w:color w:val="54AE8D"/>
      <w:sz w:val="40"/>
      <w:szCs w:val="40"/>
      <w:lang w:val="nl-NL"/>
    </w:rPr>
  </w:style>
  <w:style w:type="character" w:customStyle="1" w:styleId="Heading4Char">
    <w:name w:val="Heading 4 Char"/>
    <w:basedOn w:val="DefaultParagraphFont"/>
    <w:link w:val="Heading4"/>
    <w:uiPriority w:val="9"/>
    <w:semiHidden/>
    <w:rsid w:val="00584DF3"/>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584DF3"/>
    <w:pPr>
      <w:spacing w:before="100" w:beforeAutospacing="1" w:after="100" w:afterAutospacing="1"/>
      <w:jc w:val="left"/>
    </w:pPr>
    <w:rPr>
      <w:rFonts w:ascii="Times New Roman" w:eastAsia="Times New Roman" w:hAnsi="Times New Roman" w:cs="Times New Roman"/>
      <w:lang w:val="en-NL" w:eastAsia="en-GB"/>
    </w:rPr>
  </w:style>
  <w:style w:type="table" w:styleId="TableGrid">
    <w:name w:val="Table Grid"/>
    <w:basedOn w:val="TableNormal"/>
    <w:uiPriority w:val="39"/>
    <w:rsid w:val="0058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4DF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3530">
      <w:bodyDiv w:val="1"/>
      <w:marLeft w:val="0"/>
      <w:marRight w:val="0"/>
      <w:marTop w:val="0"/>
      <w:marBottom w:val="0"/>
      <w:divBdr>
        <w:top w:val="none" w:sz="0" w:space="0" w:color="auto"/>
        <w:left w:val="none" w:sz="0" w:space="0" w:color="auto"/>
        <w:bottom w:val="none" w:sz="0" w:space="0" w:color="auto"/>
        <w:right w:val="none" w:sz="0" w:space="0" w:color="auto"/>
      </w:divBdr>
      <w:divsChild>
        <w:div w:id="390278242">
          <w:marLeft w:val="0"/>
          <w:marRight w:val="0"/>
          <w:marTop w:val="0"/>
          <w:marBottom w:val="0"/>
          <w:divBdr>
            <w:top w:val="none" w:sz="0" w:space="0" w:color="auto"/>
            <w:left w:val="none" w:sz="0" w:space="0" w:color="auto"/>
            <w:bottom w:val="none" w:sz="0" w:space="0" w:color="auto"/>
            <w:right w:val="none" w:sz="0" w:space="0" w:color="auto"/>
          </w:divBdr>
        </w:div>
        <w:div w:id="1191993455">
          <w:marLeft w:val="0"/>
          <w:marRight w:val="0"/>
          <w:marTop w:val="0"/>
          <w:marBottom w:val="0"/>
          <w:divBdr>
            <w:top w:val="none" w:sz="0" w:space="0" w:color="auto"/>
            <w:left w:val="none" w:sz="0" w:space="0" w:color="auto"/>
            <w:bottom w:val="none" w:sz="0" w:space="0" w:color="auto"/>
            <w:right w:val="none" w:sz="0" w:space="0" w:color="auto"/>
          </w:divBdr>
        </w:div>
      </w:divsChild>
    </w:div>
    <w:div w:id="1509632917">
      <w:bodyDiv w:val="1"/>
      <w:marLeft w:val="0"/>
      <w:marRight w:val="0"/>
      <w:marTop w:val="0"/>
      <w:marBottom w:val="0"/>
      <w:divBdr>
        <w:top w:val="none" w:sz="0" w:space="0" w:color="auto"/>
        <w:left w:val="none" w:sz="0" w:space="0" w:color="auto"/>
        <w:bottom w:val="none" w:sz="0" w:space="0" w:color="auto"/>
        <w:right w:val="none" w:sz="0" w:space="0" w:color="auto"/>
      </w:divBdr>
      <w:divsChild>
        <w:div w:id="1801071463">
          <w:marLeft w:val="0"/>
          <w:marRight w:val="0"/>
          <w:marTop w:val="0"/>
          <w:marBottom w:val="0"/>
          <w:divBdr>
            <w:top w:val="none" w:sz="0" w:space="0" w:color="auto"/>
            <w:left w:val="none" w:sz="0" w:space="0" w:color="auto"/>
            <w:bottom w:val="none" w:sz="0" w:space="0" w:color="auto"/>
            <w:right w:val="none" w:sz="0" w:space="0" w:color="auto"/>
          </w:divBdr>
        </w:div>
        <w:div w:id="820580848">
          <w:marLeft w:val="0"/>
          <w:marRight w:val="0"/>
          <w:marTop w:val="0"/>
          <w:marBottom w:val="0"/>
          <w:divBdr>
            <w:top w:val="none" w:sz="0" w:space="0" w:color="auto"/>
            <w:left w:val="none" w:sz="0" w:space="0" w:color="auto"/>
            <w:bottom w:val="none" w:sz="0" w:space="0" w:color="auto"/>
            <w:right w:val="none" w:sz="0" w:space="0" w:color="auto"/>
          </w:divBdr>
        </w:div>
        <w:div w:id="1093237505">
          <w:marLeft w:val="0"/>
          <w:marRight w:val="0"/>
          <w:marTop w:val="0"/>
          <w:marBottom w:val="0"/>
          <w:divBdr>
            <w:top w:val="none" w:sz="0" w:space="0" w:color="auto"/>
            <w:left w:val="none" w:sz="0" w:space="0" w:color="auto"/>
            <w:bottom w:val="none" w:sz="0" w:space="0" w:color="auto"/>
            <w:right w:val="none" w:sz="0" w:space="0" w:color="auto"/>
          </w:divBdr>
        </w:div>
        <w:div w:id="263341591">
          <w:marLeft w:val="0"/>
          <w:marRight w:val="0"/>
          <w:marTop w:val="0"/>
          <w:marBottom w:val="0"/>
          <w:divBdr>
            <w:top w:val="none" w:sz="0" w:space="0" w:color="auto"/>
            <w:left w:val="none" w:sz="0" w:space="0" w:color="auto"/>
            <w:bottom w:val="none" w:sz="0" w:space="0" w:color="auto"/>
            <w:right w:val="none" w:sz="0" w:space="0" w:color="auto"/>
          </w:divBdr>
        </w:div>
        <w:div w:id="2122413120">
          <w:marLeft w:val="0"/>
          <w:marRight w:val="0"/>
          <w:marTop w:val="0"/>
          <w:marBottom w:val="0"/>
          <w:divBdr>
            <w:top w:val="none" w:sz="0" w:space="0" w:color="auto"/>
            <w:left w:val="none" w:sz="0" w:space="0" w:color="auto"/>
            <w:bottom w:val="none" w:sz="0" w:space="0" w:color="auto"/>
            <w:right w:val="none" w:sz="0" w:space="0" w:color="auto"/>
          </w:divBdr>
        </w:div>
        <w:div w:id="1427922313">
          <w:marLeft w:val="0"/>
          <w:marRight w:val="0"/>
          <w:marTop w:val="0"/>
          <w:marBottom w:val="0"/>
          <w:divBdr>
            <w:top w:val="none" w:sz="0" w:space="0" w:color="auto"/>
            <w:left w:val="none" w:sz="0" w:space="0" w:color="auto"/>
            <w:bottom w:val="none" w:sz="0" w:space="0" w:color="auto"/>
            <w:right w:val="none" w:sz="0" w:space="0" w:color="auto"/>
          </w:divBdr>
        </w:div>
        <w:div w:id="2074696842">
          <w:marLeft w:val="0"/>
          <w:marRight w:val="0"/>
          <w:marTop w:val="0"/>
          <w:marBottom w:val="0"/>
          <w:divBdr>
            <w:top w:val="none" w:sz="0" w:space="0" w:color="auto"/>
            <w:left w:val="none" w:sz="0" w:space="0" w:color="auto"/>
            <w:bottom w:val="none" w:sz="0" w:space="0" w:color="auto"/>
            <w:right w:val="none" w:sz="0" w:space="0" w:color="auto"/>
          </w:divBdr>
        </w:div>
        <w:div w:id="120640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Jildemarie Brouwer</dc:creator>
  <cp:keywords/>
  <dc:description/>
  <cp:lastModifiedBy>Jildemarie Brouwer</cp:lastModifiedBy>
  <cp:revision>1</cp:revision>
  <dcterms:created xsi:type="dcterms:W3CDTF">2022-06-06T14:27:00Z</dcterms:created>
  <dcterms:modified xsi:type="dcterms:W3CDTF">2022-06-06T14:35:00Z</dcterms:modified>
</cp:coreProperties>
</file>