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b w:val="1"/>
          <w:color w:val="3c78d8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c78d8"/>
          <w:sz w:val="40"/>
          <w:szCs w:val="40"/>
          <w:rtl w:val="0"/>
        </w:rPr>
        <w:t xml:space="preserve">Methodology Income Performance Dashboard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1"/>
          <w:color w:val="3c78d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c78d8"/>
          <w:sz w:val="20"/>
          <w:szCs w:val="20"/>
          <w:rtl w:val="0"/>
        </w:rPr>
        <w:t xml:space="preserve">Definitions</w:t>
      </w:r>
    </w:p>
    <w:tbl>
      <w:tblPr>
        <w:tblStyle w:val="Table1"/>
        <w:tblW w:w="975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7020"/>
        <w:tblGridChange w:id="0">
          <w:tblGrid>
            <w:gridCol w:w="2730"/>
            <w:gridCol w:w="7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Living income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.850393700787549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net annual income required for a household in a particular place to afford a decent standard of living for all members of that household. Elements of a decent standard of living include: food, water, housing, education, healthcare, transport, clothing, and other essential needs including provision for unexpected events.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household income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.850393700787549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net annual income of the household earned from various sources: the focus crop, other crops, livestock, off-farm labour, and off-farm non-labour sources.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.850393700787549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c78d8"/>
          <w:sz w:val="20"/>
          <w:szCs w:val="20"/>
          <w:rtl w:val="0"/>
        </w:rPr>
        <w:t xml:space="preserve">Dashboard input variables</w:t>
      </w:r>
      <w:r w:rsidDel="00000000" w:rsidR="00000000" w:rsidRPr="00000000">
        <w:rPr>
          <w:rtl w:val="0"/>
        </w:rPr>
      </w:r>
    </w:p>
    <w:tbl>
      <w:tblPr>
        <w:tblStyle w:val="Table2"/>
        <w:tblW w:w="4905.0" w:type="dxa"/>
        <w:jc w:val="left"/>
        <w:tblInd w:w="9.6850393700787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635"/>
        <w:tblGridChange w:id="0">
          <w:tblGrid>
            <w:gridCol w:w="3270"/>
            <w:gridCol w:w="1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right="6.850393700787549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Farm size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Hectare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USD/KG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Yield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KG/Hectare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Production costs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USD/Hectare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Non-focus crop income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Living income benchmark value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USD/Year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c78d8"/>
          <w:sz w:val="20"/>
          <w:szCs w:val="20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24.6850393700787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40"/>
        <w:tblGridChange w:id="0">
          <w:tblGrid>
            <w:gridCol w:w="3120"/>
            <w:gridCol w:w="6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right="6.850393700787549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Calculation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Focus crop production costs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Production costs * Farm size</w:t>
            </w:r>
          </w:p>
          <w:p w:rsidR="00000000" w:rsidDel="00000000" w:rsidP="00000000" w:rsidRDefault="00000000" w:rsidRPr="00000000" w14:paraId="0000001E">
            <w:pPr>
              <w:widowControl w:val="0"/>
              <w:ind w:right="6.850393700787549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Production costs considered are costs for labour, inputs and transportation (if applicable)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Focus crop revenues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Farm size * Yield * Price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Net-income focus crop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Focus crop revenues - Focus crop production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Non-focus crop income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Sum of all income earned by the household, other than income from the focus crop</w:t>
            </w:r>
          </w:p>
          <w:p w:rsidR="00000000" w:rsidDel="00000000" w:rsidP="00000000" w:rsidRDefault="00000000" w:rsidRPr="00000000" w14:paraId="00000025">
            <w:pPr>
              <w:widowControl w:val="0"/>
              <w:ind w:right="6.850393700787549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Examples: livestock, other crops, off-farm labour, government transfers.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 household income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Net-income focus crop + Non-focus crop income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Living income gap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Living income benchmark value - Actual household income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Share of income from focus crop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(Net-income focus crop/Actual household income) * 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Share of living income gap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(Living income gap/Living income benchmark value) * 100%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rial" w:cs="Arial" w:eastAsia="Arial" w:hAnsi="Arial"/>
          <w:b w:val="1"/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Ind w:w="13.3464566929133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810"/>
        <w:tblGridChange w:id="0">
          <w:tblGrid>
            <w:gridCol w:w="285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Living income benchmarks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right="6.850393700787549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Living income community of practice (2021). Living income benchmarks: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https://www.living-income.com/living-income-benchmarks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ind w:right="6.850393700787549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right="6.850393700787549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​​To compute the benchmark value for the current year, living income benchmark values are adjusted for inflation and converted from the local currency (LCU) to USD using the prevailing exchange rate.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Income driver feasible values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3.421774931381" w:type="dxa"/>
        <w:jc w:val="left"/>
        <w:tblInd w:w="24.6850393700787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3.4217749313816"/>
        <w:gridCol w:w="1335"/>
        <w:gridCol w:w="6615"/>
        <w:tblGridChange w:id="0">
          <w:tblGrid>
            <w:gridCol w:w="1723.4217749313816"/>
            <w:gridCol w:w="133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right="6.850393700787549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Crop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right="6.850393700787549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Ethiopia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GCP Quick Scan - Ethiopia, p12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Uganda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IDH/Technoserve (2014) Uganda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Kenya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GCP Quick Scan - Kenya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Kenya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TruePrice (2018)_Kenya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Colombia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GCP Quick Scan - Colombia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Côte d’Ivoire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Cocoa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Ingram et al. (2018) The Impacts of Cocoa Sustainability Initiatives in West Africa.pdf_Côte d'Ivoire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Ghana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Cocoa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Ingram et al. (2018) The Impacts of Cocoa Sustainability Initiatives in West Africa.pdf_Ghana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Cameroon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Cocoa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Kamdem (2016) Impact of cocoa farmer field schools on cocoa yield in Cameroon.pdf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Tanzania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Waarts et al - WUR (2016) Making sustainable smallholder tea farming a viable business (REPORT+APPENDIX)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India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(2019) Study of Assam Tea Value Chains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Malawi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Waarts (2017) Towards a sustainable future for smallholder tea_Malawi</w:t>
            </w:r>
          </w:p>
          <w:p w:rsidR="00000000" w:rsidDel="00000000" w:rsidP="00000000" w:rsidRDefault="00000000" w:rsidRPr="00000000" w14:paraId="0000005C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farmers and workers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Rwanda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</w:t>
            </w:r>
          </w:p>
        </w:tc>
        <w:tc>
          <w:tcPr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right="6.85039370078754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180223 Case report Wood Foundation v0.017_RE.pptx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Condensed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4857750</wp:posOffset>
          </wp:positionH>
          <wp:positionV relativeFrom="paragraph">
            <wp:posOffset>-323849</wp:posOffset>
          </wp:positionV>
          <wp:extent cx="1011563" cy="564899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1563" cy="5648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" w:cs="Assistant" w:eastAsia="Assistant" w:hAnsi="Assistant"/>
        <w:sz w:val="22"/>
        <w:szCs w:val="22"/>
        <w:lang w:val="en_GB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500" w:line="240" w:lineRule="auto"/>
      <w:ind w:left="-566.9291338582677" w:firstLine="0"/>
    </w:pPr>
    <w:rPr>
      <w:rFonts w:ascii="Roboto Condensed" w:cs="Roboto Condensed" w:eastAsia="Roboto Condensed" w:hAnsi="Roboto Condensed"/>
      <w:b w:val="1"/>
      <w:color w:val="666666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Condensed" w:cs="Roboto Condensed" w:eastAsia="Roboto Condensed" w:hAnsi="Roboto Condensed"/>
      <w:color w:val="00a68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Roboto Condensed" w:cs="Roboto Condensed" w:eastAsia="Roboto Condensed" w:hAnsi="Roboto Condensed"/>
      <w:color w:val="66666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line="288" w:lineRule="auto"/>
    </w:pPr>
    <w:rPr>
      <w:rFonts w:ascii="Roboto Condensed" w:cs="Roboto Condensed" w:eastAsia="Roboto Condensed" w:hAnsi="Roboto Condensed"/>
      <w:b w:val="1"/>
      <w:color w:val="00a689"/>
      <w:sz w:val="120"/>
      <w:szCs w:val="1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Roboto Condensed Light" w:cs="Roboto Condensed Light" w:eastAsia="Roboto Condensed Light" w:hAnsi="Roboto Condensed Light"/>
      <w:color w:val="00a68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ving-income.com/living-income-benchmarks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10" Type="http://schemas.openxmlformats.org/officeDocument/2006/relationships/font" Target="fonts/RobotoCondensedLight-boldItalic.ttf"/><Relationship Id="rId9" Type="http://schemas.openxmlformats.org/officeDocument/2006/relationships/font" Target="fonts/RobotoCondensedLight-italic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RobotoCondensedLight-regular.ttf"/><Relationship Id="rId8" Type="http://schemas.openxmlformats.org/officeDocument/2006/relationships/font" Target="fonts/RobotoCondensed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