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 VARIABLE PAY, INCENTIVES &amp; BONUS POLICY</w:t>
      </w:r>
    </w:p>
    <w:p>
      <w:r>
        <w:t>This policy defines the Variable Pay, Incentives &amp; Bonus framework of ITBREAKCOM Private Limited. It establishes KPI-linked incentive structures with gatekeeper rules and ensures statutory compliance under the Payment of Bonus Act, 1965. This policy forms an integral part of the Board-approved HR Governance Pack.</w:t>
        <w:br/>
      </w:r>
    </w:p>
    <w:p>
      <w:pPr>
        <w:pStyle w:val="Heading1"/>
      </w:pPr>
      <w:r>
        <w:t>10.1 OBJECTIVE</w:t>
      </w:r>
    </w:p>
    <w:p>
      <w:r>
        <w:t>The objectives of this policy are to:</w:t>
        <w:br/>
        <w:t>• Align employee rewards with business performance and outcomes</w:t>
        <w:br/>
        <w:t>• Incentivize high performance and goal achievement</w:t>
        <w:br/>
        <w:t>• Maintain transparency and fairness in variable compensation</w:t>
        <w:br/>
        <w:t>• Ensure statutory compliance with bonus-related laws</w:t>
        <w:br/>
        <w:t>• Support cost discipline during growth phases</w:t>
      </w:r>
    </w:p>
    <w:p>
      <w:pPr>
        <w:pStyle w:val="Heading1"/>
      </w:pPr>
      <w:r>
        <w:t>10.2 SCOPE &amp; APPLICABILITY</w:t>
      </w:r>
    </w:p>
    <w:p>
      <w:r>
        <w:t>This policy applies to:</w:t>
        <w:br/>
        <w:t>• Eligible employees as defined by role and M-Level</w:t>
        <w:br/>
        <w:t>• Trainees and consultants only where contractually specified</w:t>
        <w:br/>
        <w:br/>
        <w:t>Statutory bonus applicability shall be governed by law.</w:t>
      </w:r>
    </w:p>
    <w:p>
      <w:pPr>
        <w:pStyle w:val="Heading1"/>
      </w:pPr>
      <w:r>
        <w:t>10.3 COMPONENTS OF VARIABLE PAY</w:t>
      </w:r>
    </w:p>
    <w:p>
      <w:r>
        <w:t>Variable compensation may include:</w:t>
        <w:br/>
        <w:t>• Performance-linked incentives (PLI)</w:t>
        <w:br/>
        <w:t>• Sales or revenue-based incentives</w:t>
        <w:br/>
        <w:t>• Annual or quarterly performance bonuses</w:t>
        <w:br/>
        <w:t>• Statutory bonus (where applicable)</w:t>
      </w:r>
    </w:p>
    <w:p>
      <w:pPr>
        <w:pStyle w:val="Heading1"/>
      </w:pPr>
      <w:r>
        <w:t>10.4 KPI-LINKED INCENTIVE STRUCTURE</w:t>
      </w:r>
    </w:p>
    <w:p>
      <w:r>
        <w:t>• Variable pay shall be linked to predefined KPIs and KRAs.</w:t>
        <w:br/>
        <w:t>• KPIs shall be measurable, time-bound, and aligned with PMS.</w:t>
        <w:br/>
        <w:t>• Weightages shall be assigned to each KPI.</w:t>
        <w:br/>
        <w:t>• Incentive payout shall be based on achieved scores.</w:t>
      </w:r>
    </w:p>
    <w:p>
      <w:pPr>
        <w:pStyle w:val="Heading1"/>
      </w:pPr>
      <w:r>
        <w:t>10.5 GATEKEEPER RULES</w:t>
      </w:r>
    </w:p>
    <w:p>
      <w:r>
        <w:t>Incentive payouts are subject to gatekeeper conditions, including:</w:t>
        <w:br/>
        <w:t>• Minimum performance threshold achievement</w:t>
        <w:br/>
        <w:t>• Compliance with Company policies and code of conduct</w:t>
        <w:br/>
        <w:t>• No active disciplinary action or PIP at the time of payout</w:t>
        <w:br/>
        <w:t>• Continued employment on payout date, unless otherwise approved</w:t>
      </w:r>
    </w:p>
    <w:p>
      <w:pPr>
        <w:pStyle w:val="Heading1"/>
      </w:pPr>
      <w:r>
        <w:t>10.6 PAYOUT FREQUENCY &amp; TIMING</w:t>
      </w:r>
    </w:p>
    <w:p>
      <w:r>
        <w:t>• Incentives may be paid monthly, quarterly, or annually based on role.</w:t>
        <w:br/>
        <w:t>• Payout timelines shall be communicated in advance.</w:t>
        <w:br/>
        <w:t>• The Company reserves the right to defer payouts in exceptional circumstances.</w:t>
      </w:r>
    </w:p>
    <w:p>
      <w:pPr>
        <w:pStyle w:val="Heading1"/>
      </w:pPr>
      <w:r>
        <w:t>10.7 STATUTORY BONUS COMPLIANCE</w:t>
      </w:r>
    </w:p>
    <w:p>
      <w:r>
        <w:t>• Statutory bonus shall be paid in accordance with the Payment of Bonus Act, 1965.</w:t>
        <w:br/>
        <w:t>• Eligibility, calculation, minimum and maximum limits shall follow statutory provisions.</w:t>
        <w:br/>
        <w:t>• Statutory bonus is independent of performance-linked incentives unless otherwise required by law.</w:t>
      </w:r>
    </w:p>
    <w:p>
      <w:pPr>
        <w:pStyle w:val="Heading1"/>
      </w:pPr>
      <w:r>
        <w:t>10.8 DISQUALIFICATION &amp; FORFEITURE</w:t>
      </w:r>
    </w:p>
    <w:p>
      <w:r>
        <w:t>• Employees under disciplinary action or notice period may be disqualified from variable pay.</w:t>
        <w:br/>
        <w:t>• Misrepresentation, fraud, or policy breach may result in forfeiture.</w:t>
        <w:br/>
        <w:t>• Recovery may be initiated for wrongful payouts.</w:t>
      </w:r>
    </w:p>
    <w:p>
      <w:pPr>
        <w:pStyle w:val="Heading1"/>
      </w:pPr>
      <w:r>
        <w:t>10.9 GOVERNANCE &amp; APPROVALS</w:t>
      </w:r>
    </w:p>
    <w:p>
      <w:r>
        <w:t>• Variable pay structures shall be approved by management / Board as applicable.</w:t>
        <w:br/>
        <w:t>• HR and Finance shall jointly administer calculations and payouts.</w:t>
        <w:br/>
        <w:t>• Records shall be maintained for audit and investor due diligence.</w:t>
      </w:r>
    </w:p>
    <w:p>
      <w:r>
        <w:br w:type="page"/>
      </w:r>
    </w:p>
    <w:p>
      <w:pPr>
        <w:pStyle w:val="Heading1"/>
      </w:pPr>
      <w:r>
        <w:t>ACKNOWLEDGEMENT &amp; SIGN-OFF</w:t>
      </w:r>
    </w:p>
    <w:p>
      <w:r>
        <w:t>I acknowledge that I have read and understood the Variable Pay, Incentives &amp; Bonus Policy and agree to its terms.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ITBREAKCOM PRIVATE LIMITED</w:t>
        <w:br/>
        <w:t>Authorized Signatory: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