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16. TRAVEL, EXPENSE &amp; REIMBURSEMENT SOP</w:t>
      </w:r>
    </w:p>
    <w:p>
      <w:pPr>
        <w:pStyle w:val="Normal"/>
        <w:rPr/>
      </w:pPr>
      <w:r>
        <w:rPr/>
        <w:t>This Standard Operating Procedure (SOP) defines the Travel, Expense &amp; Reimbursement framework of ITBREAKCOM Private Limited. It establishes a CRM-linked reimbursement system with clear approval workflows, spending caps, and audit controls. This SOP forms an integral part of the Board-approved HR Governance Pack.</w:t>
        <w:br/>
      </w:r>
    </w:p>
    <w:p>
      <w:pPr>
        <w:pStyle w:val="Heading1"/>
        <w:rPr/>
      </w:pPr>
      <w:r>
        <w:rPr/>
        <w:t>16.1 OBJECTIVE</w:t>
      </w:r>
    </w:p>
    <w:p>
      <w:pPr>
        <w:pStyle w:val="Normal"/>
        <w:rPr/>
      </w:pPr>
      <w:r>
        <w:rPr/>
        <w:t>The objectives of this SOP are to:</w:t>
        <w:br/>
        <w:t>• Enable timely reimbursement of legitimate business expenses</w:t>
        <w:br/>
        <w:t>• Maintain cost discipline and transparency</w:t>
        <w:br/>
        <w:t>• Integrate expense tracking with CRM / internal systems</w:t>
        <w:br/>
        <w:t>• Prevent misuse and ensure audit readiness</w:t>
        <w:br/>
        <w:t>• Support scalable operations during growth</w:t>
      </w:r>
    </w:p>
    <w:p>
      <w:pPr>
        <w:pStyle w:val="Heading1"/>
        <w:rPr/>
      </w:pPr>
      <w:r>
        <w:rPr/>
        <w:t>16.2 SCOPE &amp; APPLICABILITY</w:t>
      </w:r>
    </w:p>
    <w:p>
      <w:pPr>
        <w:pStyle w:val="Normal"/>
        <w:rPr/>
      </w:pPr>
      <w:r>
        <w:rPr/>
        <w:t>This SOP applies to:</w:t>
        <w:br/>
        <w:t>• All employees</w:t>
        <w:br/>
        <w:t>• Trainees (where explicitly approved)</w:t>
        <w:br/>
        <w:t>• Consultants (only if contractually permitted)</w:t>
        <w:br/>
        <w:br/>
        <w:t>Reimbursements are limited to expenses incurred wholly and exclusively for official purposes.</w:t>
      </w:r>
    </w:p>
    <w:p>
      <w:pPr>
        <w:pStyle w:val="Heading1"/>
        <w:rPr/>
      </w:pPr>
      <w:r>
        <w:rPr/>
        <w:t>16.3 ELIGIBLE EXPENSE CATEGORIES</w:t>
      </w:r>
    </w:p>
    <w:p>
      <w:pPr>
        <w:pStyle w:val="Normal"/>
        <w:rPr/>
      </w:pPr>
      <w:r>
        <w:rPr/>
        <w:t>Eligible expenses may include:</w:t>
        <w:br/>
        <w:t>• Business travel (air, rail, road)</w:t>
        <w:br/>
        <w:t>• Local conveyance</w:t>
        <w:br/>
        <w:t>• Accommodation</w:t>
        <w:br/>
        <w:t>• Meals during official travel</w:t>
        <w:br/>
        <w:t>• Client meetings and events</w:t>
        <w:br/>
        <w:t>• Communication and internet expenses</w:t>
        <w:br/>
        <w:br/>
        <w:t>All expenses must be supported by valid bills or receipts.</w:t>
      </w:r>
    </w:p>
    <w:p>
      <w:pPr>
        <w:pStyle w:val="Heading1"/>
        <w:rPr/>
      </w:pPr>
      <w:r>
        <w:rPr/>
        <w:t>16.4 TRAVEL AUTHORIZATION</w:t>
      </w:r>
    </w:p>
    <w:p>
      <w:pPr>
        <w:pStyle w:val="Normal"/>
        <w:rPr/>
      </w:pPr>
      <w:r>
        <w:rPr/>
        <w:t xml:space="preserve">• </w:t>
      </w:r>
      <w:r>
        <w:rPr/>
        <w:t>Prior approval is mandatory for all official travel.</w:t>
        <w:br/>
        <w:t>• Travel requests shall be raised through the CRM or designated system.</w:t>
        <w:br/>
        <w:t>• Approvals shall follow the defined authority matrix based on M-Level.</w:t>
        <w:br/>
        <w:t>• Emergency travel may be approved post-facto with justification.</w:t>
      </w:r>
    </w:p>
    <w:p>
      <w:pPr>
        <w:pStyle w:val="Heading1"/>
        <w:rPr/>
      </w:pPr>
      <w:r>
        <w:rPr/>
        <w:t>16.5 EXPENSE SUBMISSION &amp; CRM LINKAGE</w:t>
      </w:r>
    </w:p>
    <w:p>
      <w:pPr>
        <w:pStyle w:val="Normal"/>
        <w:rPr/>
      </w:pPr>
      <w:r>
        <w:rPr/>
        <w:t xml:space="preserve">• </w:t>
      </w:r>
      <w:r>
        <w:rPr/>
        <w:t>Expense claims shall be submitted through the CRM-linked reimbursement module.</w:t>
        <w:br/>
        <w:t>• Each claim must be tagged to the relevant project, client, or cost center.</w:t>
        <w:br/>
        <w:t>• Supporting documents must be uploaded.</w:t>
        <w:br/>
        <w:t>• Claims must be submitted within ________ days of expense incurrence.</w:t>
      </w:r>
    </w:p>
    <w:p>
      <w:pPr>
        <w:pStyle w:val="Heading1"/>
        <w:rPr/>
      </w:pPr>
      <w:r>
        <w:rPr/>
        <w:t>16.6 APPROVAL WORKFLOW</w:t>
      </w:r>
    </w:p>
    <w:p>
      <w:pPr>
        <w:pStyle w:val="Normal"/>
        <w:rPr/>
      </w:pPr>
      <w:r>
        <w:rPr/>
        <w:t xml:space="preserve">• </w:t>
      </w:r>
      <w:r>
        <w:rPr/>
        <w:t>Reporting Manager: First-level review and approval.</w:t>
        <w:br/>
        <w:t>• Finance: Policy compliance, budget check, and verification.</w:t>
        <w:br/>
        <w:t>• Final approval authority may vary based on amount and M-Level.</w:t>
        <w:br/>
        <w:t>• Deviations require documented justification and approval.</w:t>
      </w:r>
    </w:p>
    <w:p>
      <w:pPr>
        <w:pStyle w:val="Heading1"/>
        <w:rPr/>
      </w:pPr>
      <w:r>
        <w:rPr/>
        <w:t>16.7 SPENDING CAPS &amp; LIMITS</w:t>
      </w:r>
    </w:p>
    <w:p>
      <w:pPr>
        <w:pStyle w:val="Normal"/>
        <w:rPr/>
      </w:pPr>
      <w:r>
        <w:rPr/>
        <w:t xml:space="preserve">• </w:t>
      </w:r>
      <w:r>
        <w:rPr/>
        <w:t>Spending caps shall be defined by expense category and M-Level.</w:t>
        <w:br/>
        <w:t>• Any expense exceeding prescribed limits requires prior written approval.</w:t>
        <w:br/>
        <w:t>• Caps may be revised periodically based on business needs.</w:t>
      </w:r>
    </w:p>
    <w:p>
      <w:pPr>
        <w:pStyle w:val="Heading1"/>
        <w:rPr/>
      </w:pPr>
      <w:r>
        <w:rPr/>
        <w:t>16.8 REIMBURSEMENT &amp; PAYMENT</w:t>
      </w:r>
    </w:p>
    <w:p>
      <w:pPr>
        <w:pStyle w:val="Normal"/>
        <w:rPr/>
      </w:pPr>
      <w:r>
        <w:rPr/>
        <w:t xml:space="preserve">• </w:t>
      </w:r>
      <w:r>
        <w:rPr/>
        <w:t>Approved claims shall be reimbursed within ________ days.</w:t>
        <w:br/>
        <w:t>• Payments shall be made through payroll or bank transfer.</w:t>
        <w:br/>
        <w:t>• No cash reimbursements are permitted.</w:t>
      </w:r>
    </w:p>
    <w:p>
      <w:pPr>
        <w:pStyle w:val="Heading1"/>
        <w:rPr/>
      </w:pPr>
      <w:r>
        <w:rPr/>
        <w:t>16.9 AUDIT CONTROLS &amp; COMPLIANCE</w:t>
      </w:r>
    </w:p>
    <w:p>
      <w:pPr>
        <w:pStyle w:val="Normal"/>
        <w:rPr/>
      </w:pPr>
      <w:r>
        <w:rPr/>
        <w:t xml:space="preserve">• </w:t>
      </w:r>
      <w:r>
        <w:rPr/>
        <w:t>Expense claims are subject to internal and external audits.</w:t>
        <w:br/>
        <w:t>• Random audits may be conducted to detect misuse.</w:t>
        <w:br/>
        <w:t>• False or inflated claims may result in disciplinary action.</w:t>
        <w:br/>
        <w:t>• Repeated violations may attract stricter penalties.</w:t>
      </w:r>
    </w:p>
    <w:p>
      <w:pPr>
        <w:pStyle w:val="Heading1"/>
        <w:rPr/>
      </w:pPr>
      <w:r>
        <w:rPr/>
        <w:t>16.10 RECORD RETENTION</w:t>
      </w:r>
    </w:p>
    <w:p>
      <w:pPr>
        <w:pStyle w:val="Normal"/>
        <w:rPr/>
      </w:pPr>
      <w:r>
        <w:rPr/>
        <w:t xml:space="preserve">• </w:t>
      </w:r>
      <w:r>
        <w:rPr/>
        <w:t>Expense records and approvals shall be retained for a minimum of seven (7) years.</w:t>
        <w:br/>
        <w:t>• Records shall be available for statutory, audit, and investor due diligence.</w:t>
      </w:r>
    </w:p>
    <w:p>
      <w:pPr>
        <w:pStyle w:val="Heading1"/>
        <w:rPr/>
      </w:pPr>
      <w:r>
        <w:rPr/>
        <w:t>APPROVAL &amp; SIGN-OFF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Prepared By (HR / Finance): _______________________________  Date: ___________</w:t>
        <w:br/>
        <w:br/>
        <w:t>Reviewed By (Managing Director): ___________________  Date: ___________</w:t>
        <w:br/>
        <w:br/>
        <w:t>Noted By (Board): _______________________________  Date: ___________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LibreOffice/7.4.2.3$Windows_X86_64 LibreOffice_project/382eef1f22670f7f4118c8c2dd222ec7ad009daf</Application>
  <AppVersion>15.0000</AppVersion>
  <Pages>3</Pages>
  <Words>460</Words>
  <Characters>2697</Characters>
  <CharactersWithSpaces>3141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2025-12-29T15:22:58Z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