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17. STATUTORY COMPLIANCE FRAMEWORK </w:t>
      </w:r>
    </w:p>
    <w:p>
      <w:pPr>
        <w:pStyle w:val="Normal"/>
        <w:rPr/>
      </w:pPr>
      <w:r>
        <w:rPr/>
        <w:t>This Statutory Compliance Framework outlines ITBREAKCOM Private Limited’s approach to compliance with applicable Indian labour and employment laws. The framework ensures legal adherence, governance discipline, and readiness for audits, inspections, and investor due diligence. This policy forms an integral part of the Board-approved HR Governance Pack.</w:t>
        <w:br/>
      </w:r>
    </w:p>
    <w:p>
      <w:pPr>
        <w:pStyle w:val="Heading1"/>
        <w:rPr/>
      </w:pPr>
      <w:r>
        <w:rPr/>
        <w:t>17.1 OBJECTIVE</w:t>
      </w:r>
    </w:p>
    <w:p>
      <w:pPr>
        <w:pStyle w:val="Normal"/>
        <w:rPr/>
      </w:pPr>
      <w:r>
        <w:rPr/>
        <w:t>The objectives of this framework are to:</w:t>
        <w:br/>
        <w:t>• Ensure full compliance with applicable labour laws in India</w:t>
        <w:br/>
        <w:t>• Protect employee rights and welfare</w:t>
        <w:br/>
        <w:t>• Reduce legal, financial, and reputational risks</w:t>
        <w:br/>
        <w:t>• Maintain audit- and investor-ready documentation</w:t>
        <w:br/>
        <w:t>• Prepare for transition to the new Labour Codes regime</w:t>
      </w:r>
    </w:p>
    <w:p>
      <w:pPr>
        <w:pStyle w:val="Heading1"/>
        <w:rPr/>
      </w:pPr>
      <w:r>
        <w:rPr/>
        <w:t>17.2 APPLICABLE STATUTES</w:t>
      </w:r>
    </w:p>
    <w:p>
      <w:pPr>
        <w:pStyle w:val="Normal"/>
        <w:rPr/>
      </w:pPr>
      <w:r>
        <w:rPr/>
        <w:t>The Company shall comply with all applicable labour laws, including but not limited to:</w:t>
        <w:br/>
        <w:br/>
        <w:t>• Employees’ Provident Funds &amp; Miscellaneous Provisions Act, 1952 (EPF)</w:t>
        <w:br/>
        <w:t>• Employees’ State Insurance Act, 1948 (ESIC), where applicable</w:t>
        <w:br/>
        <w:t>• Payment of Gratuity Act, 1972</w:t>
        <w:br/>
        <w:t>• Payment of Bonus Act, 1965</w:t>
        <w:br/>
        <w:t>• Shops &amp; Establishments Act (State-specific)</w:t>
        <w:br/>
        <w:t>• Maternity Benefit Act, 1961</w:t>
        <w:br/>
        <w:t>• Equal Remuneration principles under applicable law</w:t>
        <w:br/>
        <w:t>• Applicable Labour Codes (on Wages, Social Security, OSH, IR) – readiness framework</w:t>
      </w:r>
    </w:p>
    <w:p>
      <w:pPr>
        <w:pStyle w:val="Heading1"/>
        <w:rPr/>
      </w:pPr>
      <w:r>
        <w:rPr/>
        <w:t>17.3 EPF &amp; ESIC COMPLIANCE</w:t>
      </w:r>
    </w:p>
    <w:p>
      <w:pPr>
        <w:pStyle w:val="Normal"/>
        <w:rPr/>
      </w:pPr>
      <w:r>
        <w:rPr/>
        <w:t xml:space="preserve">• </w:t>
      </w:r>
      <w:r>
        <w:rPr/>
        <w:t>EPF registration and monthly contributions shall be made as per law.</w:t>
        <w:br/>
        <w:t>• Employee and employer contributions shall be deposited within statutory timelines.</w:t>
        <w:br/>
        <w:t>• ESIC registration and compliance shall apply where coverage thresholds are met.</w:t>
        <w:br/>
        <w:t>• Statutory returns and challans shall be maintained for audit.</w:t>
      </w:r>
    </w:p>
    <w:p>
      <w:pPr>
        <w:pStyle w:val="Heading1"/>
        <w:rPr/>
      </w:pPr>
      <w:r>
        <w:rPr/>
        <w:t>17.4 GRATUITY &amp; BONUS</w:t>
      </w:r>
    </w:p>
    <w:p>
      <w:pPr>
        <w:pStyle w:val="Normal"/>
        <w:rPr/>
      </w:pPr>
      <w:r>
        <w:rPr/>
        <w:t xml:space="preserve">• </w:t>
      </w:r>
      <w:r>
        <w:rPr/>
        <w:t>Gratuity shall be paid to eligible employees as per the Payment of Gratuity Act, 1972.</w:t>
        <w:br/>
        <w:t>• Bonus eligibility and payment shall comply with the Payment of Bonus Act, 1965.</w:t>
        <w:br/>
        <w:t>• Necessary records and calculations shall be documented.</w:t>
      </w:r>
    </w:p>
    <w:p>
      <w:pPr>
        <w:pStyle w:val="Heading1"/>
        <w:rPr/>
      </w:pPr>
      <w:r>
        <w:rPr/>
        <w:t>17.5 SHOPS &amp; ESTABLISHMENTS COMPLIANCE</w:t>
      </w:r>
    </w:p>
    <w:p>
      <w:pPr>
        <w:pStyle w:val="Normal"/>
        <w:rPr/>
      </w:pPr>
      <w:r>
        <w:rPr/>
        <w:t xml:space="preserve">• </w:t>
      </w:r>
      <w:r>
        <w:rPr/>
        <w:t>The Company shall obtain and renew Shops &amp; Establishments registration as applicable.</w:t>
        <w:br/>
        <w:t>• Working hours, leave, holidays, and notices shall comply with state-specific rules.</w:t>
        <w:br/>
        <w:t>• Registers and notices shall be maintained as prescribed.</w:t>
      </w:r>
    </w:p>
    <w:p>
      <w:pPr>
        <w:pStyle w:val="Heading1"/>
        <w:rPr/>
      </w:pPr>
      <w:r>
        <w:rPr/>
        <w:t>17.6 MATERNITY BENEFIT &amp; EQUAL REMUNERATION</w:t>
      </w:r>
    </w:p>
    <w:p>
      <w:pPr>
        <w:pStyle w:val="Normal"/>
        <w:rPr/>
      </w:pPr>
      <w:r>
        <w:rPr/>
        <w:t xml:space="preserve">• </w:t>
      </w:r>
      <w:r>
        <w:rPr/>
        <w:t>Maternity benefits shall be provided in accordance with the Maternity Benefit Act, 1961.</w:t>
        <w:br/>
        <w:t>• No discrimination shall be practiced in remuneration based on gender.</w:t>
        <w:br/>
        <w:t>• Equal pay for equal work principles shall be followed.</w:t>
      </w:r>
    </w:p>
    <w:p>
      <w:pPr>
        <w:pStyle w:val="Heading1"/>
        <w:rPr/>
      </w:pPr>
      <w:r>
        <w:rPr/>
        <w:t>17.7 LABOUR CODES READINESS</w:t>
      </w:r>
    </w:p>
    <w:p>
      <w:pPr>
        <w:pStyle w:val="Normal"/>
        <w:rPr/>
      </w:pPr>
      <w:r>
        <w:rPr/>
        <w:t xml:space="preserve">• </w:t>
      </w:r>
      <w:r>
        <w:rPr/>
        <w:t>The Company shall monitor implementation of the four Labour Codes.</w:t>
        <w:br/>
        <w:t>• Policies, payroll structures, and contracts shall be reviewed for alignment.</w:t>
        <w:br/>
        <w:t>• Necessary changes shall be implemented upon notification of the Codes.</w:t>
      </w:r>
    </w:p>
    <w:p>
      <w:pPr>
        <w:pStyle w:val="Heading1"/>
        <w:rPr/>
      </w:pPr>
      <w:r>
        <w:rPr/>
        <w:t>17.8 RECORDS, AUDITS &amp; INSPECTIONS</w:t>
      </w:r>
    </w:p>
    <w:p>
      <w:pPr>
        <w:pStyle w:val="Normal"/>
        <w:rPr/>
      </w:pPr>
      <w:r>
        <w:rPr/>
        <w:t xml:space="preserve">• </w:t>
      </w:r>
      <w:r>
        <w:rPr/>
        <w:t>Statutory registers, returns, and filings shall be maintained accurately.</w:t>
        <w:br/>
        <w:t>• HR and Finance shall coordinate for compliance audits.</w:t>
        <w:br/>
        <w:t>• Inspection notices shall be handled promptly and professionally.</w:t>
      </w:r>
    </w:p>
    <w:p>
      <w:pPr>
        <w:pStyle w:val="Heading1"/>
        <w:rPr/>
      </w:pPr>
      <w:r>
        <w:rPr/>
        <w:t>17.9 ROLES &amp; RESPONSIBILITIES</w:t>
      </w:r>
    </w:p>
    <w:p>
      <w:pPr>
        <w:pStyle w:val="Normal"/>
        <w:rPr/>
      </w:pPr>
      <w:r>
        <w:rPr/>
        <w:t xml:space="preserve">• </w:t>
      </w:r>
      <w:r>
        <w:rPr/>
        <w:t>HR: Compliance monitoring, documentation, liaison with consultants.</w:t>
        <w:br/>
        <w:t>• Finance: Statutory payments, filings, and reconciliations.</w:t>
        <w:br/>
        <w:t>• Management: Oversight and corrective action.</w:t>
      </w:r>
    </w:p>
    <w:p>
      <w:pPr>
        <w:pStyle w:val="Heading1"/>
        <w:rPr/>
      </w:pPr>
      <w:r>
        <w:rPr/>
        <w:t>APPROVAL &amp; SIGN-OFF</w:t>
      </w:r>
    </w:p>
    <w:p>
      <w:pPr>
        <w:pStyle w:val="Normal"/>
        <w:widowControl/>
        <w:bidi w:val="0"/>
        <w:spacing w:lineRule="auto" w:line="276" w:before="0" w:after="200"/>
        <w:jc w:val="left"/>
        <w:rPr/>
      </w:pPr>
      <w:r>
        <w:rPr/>
        <w:t>Prepared By (HR): _______________________________  Date: ___________</w:t>
        <w:br/>
        <w:br/>
        <w:t>Reviewed By (Managing Director): ___________________  Date: ___________</w:t>
        <w:br/>
        <w:br/>
        <w:t>Noted By (Board): _______________________________  Date: ___________</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LibreOffice/7.4.2.3$Windows_X86_64 LibreOffice_project/382eef1f22670f7f4118c8c2dd222ec7ad009daf</Application>
  <AppVersion>15.0000</AppVersion>
  <Pages>2</Pages>
  <Words>465</Words>
  <Characters>2795</Characters>
  <CharactersWithSpaces>3247</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2025-12-29T14:54:23Z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