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1. STRATEGIC HR PHILOSOPHY </w:t>
      </w:r>
    </w:p>
    <w:p>
      <w:pPr>
        <w:pStyle w:val="Normal"/>
        <w:rPr/>
      </w:pPr>
      <w:r>
        <w:rPr/>
        <w:t>This Strategic HR Philosophy &amp; Investor Alignment policy establishes ITBREAK COM Private Limited’s people governance framework. It is designed to align human capital strategy with venture capital, private equity, and institutional investor expectations. The overarching objective is to build a scalable, compliant, and performance-led organization capable of achieving ₹10 Crore in revenue by January 2027. This section serves as the foundation of the Board-approved HR Governance Pack.</w:t>
        <w:br/>
      </w:r>
    </w:p>
    <w:p>
      <w:pPr>
        <w:pStyle w:val="Heading1"/>
        <w:rPr/>
      </w:pPr>
      <w:r>
        <w:rPr/>
        <w:t>1.1 CONTEXT &amp; RATIONALE</w:t>
      </w:r>
    </w:p>
    <w:p>
      <w:pPr>
        <w:pStyle w:val="Normal"/>
        <w:rPr/>
      </w:pPr>
      <w:r>
        <w:rPr/>
        <w:t>As a growth-oriented EdTech and technology services organization, ITBREAK COM recognizes that people governance is a critical driver of enterprise value. Investors evaluate not only financial performance, but also the robustness of HR systems, leadership depth, compliance discipline, and execution capability.</w:t>
        <w:br/>
        <w:br/>
        <w:t>This handbook formalizes HR as a strategic function rather than an administrative activity.</w:t>
      </w:r>
    </w:p>
    <w:p>
      <w:pPr>
        <w:pStyle w:val="Heading1"/>
        <w:rPr/>
      </w:pPr>
      <w:r>
        <w:rPr/>
        <w:t>1.2 STRATEGIC OBJECTIVES</w:t>
      </w:r>
    </w:p>
    <w:p>
      <w:pPr>
        <w:pStyle w:val="Normal"/>
        <w:rPr/>
      </w:pPr>
      <w:r>
        <w:rPr/>
        <w:t>The strategic objectives of ITBREAKCOM’s HR philosophy are to:</w:t>
        <w:br/>
        <w:t>• Build a high-performance, outcome-driven culture</w:t>
        <w:br/>
        <w:t>• Attract and retain top-tier talent in competitive markets</w:t>
        <w:br/>
        <w:t>• Ensure statutory, contractual, and governance compliance</w:t>
        <w:br/>
        <w:t>• Enable predictable execution and scalability</w:t>
        <w:br/>
        <w:t>• Reduce people-related operational and legal risks</w:t>
        <w:br/>
        <w:t>• Support fund-raise readiness and investor confidence</w:t>
      </w:r>
    </w:p>
    <w:p>
      <w:pPr>
        <w:pStyle w:val="Heading1"/>
        <w:rPr/>
      </w:pPr>
      <w:r>
        <w:rPr/>
        <w:t>1.3 INVESTOR ALIGNMENT PRINCIPLES</w:t>
      </w:r>
    </w:p>
    <w:p>
      <w:pPr>
        <w:pStyle w:val="Normal"/>
        <w:rPr/>
      </w:pPr>
      <w:r>
        <w:rPr/>
        <w:t>HR governance at ITBREAK COM is aligned to investor expectations through:</w:t>
        <w:br/>
        <w:t>• Board-approved policies and documented controls</w:t>
        <w:br/>
        <w:t>• Clear accountability frameworks (M-Level architecture)</w:t>
        <w:br/>
        <w:t>• Performance-linked compensation and incentives</w:t>
        <w:br/>
        <w:t>• Transparent hiring, promotion, and exit mechanisms</w:t>
        <w:br/>
        <w:t>• Statutory compliance and audit readiness</w:t>
        <w:br/>
        <w:t>• Strong IP protection and confidentiality regimes</w:t>
      </w:r>
    </w:p>
    <w:p>
      <w:pPr>
        <w:pStyle w:val="Heading1"/>
        <w:rPr/>
      </w:pPr>
      <w:r>
        <w:rPr/>
        <w:t>1.4 PERFORMANCE-LED ORGANIZATION</w:t>
      </w:r>
    </w:p>
    <w:p>
      <w:pPr>
        <w:pStyle w:val="Normal"/>
        <w:rPr/>
      </w:pPr>
      <w:r>
        <w:rPr/>
        <w:t>ITBREAK COM adopts a performance-led operating model where:</w:t>
        <w:br/>
        <w:t>• Roles are defined by outcomes, not titles</w:t>
        <w:br/>
        <w:t>• KPIs are clearly assigned and measured</w:t>
        <w:br/>
        <w:t>• Rewards, growth, and exits are merit-based</w:t>
        <w:br/>
        <w:t>• Underperformance is addressed through structured mechanisms</w:t>
        <w:br/>
        <w:br/>
        <w:t>This ensures capital efficiency and execution reliability.</w:t>
      </w:r>
    </w:p>
    <w:p>
      <w:pPr>
        <w:pStyle w:val="Heading1"/>
        <w:rPr/>
      </w:pPr>
      <w:r>
        <w:rPr/>
        <w:t>1.5 SCALABILITY &amp; GROWTH READINESS</w:t>
      </w:r>
    </w:p>
    <w:p>
      <w:pPr>
        <w:pStyle w:val="Normal"/>
        <w:rPr/>
      </w:pPr>
      <w:r>
        <w:rPr/>
        <w:t>The HR framework is designed to scale from early growth to institutional maturity. Processes, documentation, and controls are intentionally built to withstand:</w:t>
        <w:br/>
        <w:t>• Rapid headcount growth</w:t>
        <w:br/>
        <w:t>• Multi-location and remote teams</w:t>
        <w:br/>
        <w:t>• External audits and due diligence</w:t>
        <w:br/>
        <w:t>• Leadership transitions and succession scenarios</w:t>
      </w:r>
    </w:p>
    <w:p>
      <w:pPr>
        <w:pStyle w:val="Heading1"/>
        <w:rPr/>
      </w:pPr>
      <w:r>
        <w:rPr/>
        <w:t>1.6 BINDING NATURE OF THE HANDBOOK</w:t>
      </w:r>
    </w:p>
    <w:p>
      <w:pPr>
        <w:pStyle w:val="Normal"/>
        <w:rPr/>
      </w:pPr>
      <w:r>
        <w:rPr/>
        <w:t>This HR Handbook and its constituent policies:</w:t>
        <w:br/>
        <w:t>• Are approved by the Board of Directors</w:t>
        <w:br/>
        <w:t>• Are binding on all employees, trainees, consultants, and management</w:t>
        <w:br/>
        <w:t>• Supersede any prior HR practices, documents, or verbal assurances</w:t>
        <w:br/>
        <w:t>• May be amended only through the defined governance process</w:t>
      </w:r>
    </w:p>
    <w:p>
      <w:pPr>
        <w:pStyle w:val="Heading1"/>
        <w:rPr/>
      </w:pPr>
      <w:r>
        <w:rPr/>
        <w:t>ACKNOWLEDGEMENT &amp; SIGN-OFF</w:t>
      </w:r>
    </w:p>
    <w:p>
      <w:pPr>
        <w:pStyle w:val="Normal"/>
        <w:widowControl/>
        <w:bidi w:val="0"/>
        <w:spacing w:lineRule="auto" w:line="276" w:before="0" w:after="200"/>
        <w:jc w:val="left"/>
        <w:rPr/>
      </w:pPr>
      <w:r>
        <w:rPr/>
        <w:t>I acknowledge that I have read and understood the Strategic HR Philosophy &amp; Investor Alignment policy and recognize its importance in supporting the Company’s growth and governance objectives.</w:t>
        <w:br/>
        <w:br/>
        <w:t>Name:</w:t>
        <w:br/>
        <w:t>Designation:</w:t>
        <w:br/>
        <w:t>Signature:</w:t>
        <w:br/>
        <w:t>Date:</w:t>
        <w:br/>
        <w:br/>
        <w:t>-----------------------------------</w:t>
        <w:br/>
        <w:br/>
        <w:t>For ITBREAK COM PRIVATE LIMITED</w:t>
        <w:br/>
        <w:t>Authorized Signatory:</w:t>
        <w:br/>
        <w:t>Signature:</w:t>
        <w:br/>
        <w:t>Date: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2</Pages>
  <Words>426</Words>
  <Characters>2707</Characters>
  <CharactersWithSpaces>3124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2025-12-29T14:52:32Z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