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 CONSULTANT &amp; CONTRACTOR GOVERNANCE</w:t>
      </w:r>
    </w:p>
    <w:p>
      <w:r>
        <w:t>This section defines the Consultant &amp; Contractor Governance framework of ITBREAKCOM Private Limited. It establishes clear guidelines for engaging independent contractors, ensuring tax compliance, protecting intellectual property, and mitigating misclassification and business risks. This section forms an integral part of the Board-approved HR Governance Pack.</w:t>
        <w:br/>
      </w:r>
    </w:p>
    <w:p>
      <w:pPr>
        <w:pStyle w:val="Heading1"/>
      </w:pPr>
      <w:r>
        <w:t>24.1 OBJECTIVE</w:t>
      </w:r>
    </w:p>
    <w:p>
      <w:r>
        <w:t>The objectives of Consultant &amp; Contractor Governance are to:</w:t>
        <w:br/>
        <w:t>• Enable flexible access to external expertise</w:t>
        <w:br/>
        <w:t>• Ensure compliance with tax and regulatory requirements</w:t>
        <w:br/>
        <w:t>• Prevent employee misclassification risk</w:t>
        <w:br/>
        <w:t>• Protect Company intellectual property and confidential information</w:t>
        <w:br/>
        <w:t>• Safeguard business relationships through enforceable non-solicitation provisions</w:t>
      </w:r>
    </w:p>
    <w:p>
      <w:pPr>
        <w:pStyle w:val="Heading1"/>
      </w:pPr>
      <w:r>
        <w:t>24.2 CLASSIFICATION OF CONSULTANTS &amp; CONTRACTORS</w:t>
      </w:r>
    </w:p>
    <w:p>
      <w:r>
        <w:t>• Consultants and contractors are engaged strictly as independent contractors.</w:t>
        <w:br/>
        <w:t>• Engagements are on a principal-to-principal basis.</w:t>
        <w:br/>
        <w:t>• No consultant or contractor shall be treated as an employee for any purpose.</w:t>
        <w:br/>
        <w:t>• Categories may include academic consultants, technical experts, advisors, project-based professionals, and international consultants.</w:t>
      </w:r>
    </w:p>
    <w:p>
      <w:pPr>
        <w:pStyle w:val="Heading1"/>
      </w:pPr>
      <w:r>
        <w:t>24.3 ENGAGEMENT FRAMEWORK</w:t>
      </w:r>
    </w:p>
    <w:p>
      <w:r>
        <w:t>• All consultants shall be engaged through a written agreement or Letter of Engagement (LOE).</w:t>
        <w:br/>
        <w:t>• Scope of work, deliverables, fees, and timelines must be clearly defined.</w:t>
        <w:br/>
        <w:t>• Engagement approval shall follow delegated authority levels.</w:t>
        <w:br/>
        <w:t>• No verbal or informal engagements are permitted.</w:t>
      </w:r>
    </w:p>
    <w:p>
      <w:pPr>
        <w:pStyle w:val="Heading1"/>
      </w:pPr>
      <w:r>
        <w:t>24.4 COMPENSATION &amp; PAYMENT</w:t>
      </w:r>
    </w:p>
    <w:p>
      <w:r>
        <w:t>• Compensation may be structured as fixed fees, milestone-based payments, retainers, or revenue-linked arrangements.</w:t>
        <w:br/>
        <w:t>• Payments shall be made only against valid invoices.</w:t>
        <w:br/>
        <w:t>• No employee benefits, reimbursements, or allowances apply unless expressly approved in writing.</w:t>
      </w:r>
    </w:p>
    <w:p>
      <w:pPr>
        <w:pStyle w:val="Heading1"/>
      </w:pPr>
      <w:r>
        <w:t>24.5 TAX COMPLIANCE (TDS / GST)</w:t>
      </w:r>
    </w:p>
    <w:p>
      <w:r>
        <w:t>• Tax Deducted at Source (TDS) shall be deducted as per applicable income tax laws.</w:t>
        <w:br/>
        <w:t>• Consultants are responsible for filing income tax returns.</w:t>
        <w:br/>
        <w:t>• Where applicable, GST-compliant invoices must be submitted.</w:t>
        <w:br/>
        <w:t>• The Company shall not be liable for penalties arising from consultant non-compliance.</w:t>
      </w:r>
    </w:p>
    <w:p>
      <w:pPr>
        <w:pStyle w:val="Heading1"/>
      </w:pPr>
      <w:r>
        <w:t>24.6 INTELLECTUAL PROPERTY PROTECTION</w:t>
      </w:r>
    </w:p>
    <w:p>
      <w:r>
        <w:t>• All work product, deliverables, content, code, data, designs, or materials created by consultants during engagement shall be the exclusive intellectual property of the Company.</w:t>
        <w:br/>
        <w:t>• Consultants shall execute IP assignment clauses as part of their agreement.</w:t>
        <w:br/>
        <w:t>• Use of Company IP outside the scope of engagement is strictly prohibited.</w:t>
      </w:r>
    </w:p>
    <w:p>
      <w:pPr>
        <w:pStyle w:val="Heading1"/>
      </w:pPr>
      <w:r>
        <w:t>24.7 CONFIDENTIALITY</w:t>
      </w:r>
    </w:p>
    <w:p>
      <w:r>
        <w:t>• Consultants shall maintain strict confidentiality of all non-public Company information.</w:t>
        <w:br/>
        <w:t>• Confidentiality obligations shall survive termination of engagement.</w:t>
        <w:br/>
        <w:t>• Breach of confidentiality may result in immediate termination and legal action.</w:t>
      </w:r>
    </w:p>
    <w:p>
      <w:pPr>
        <w:pStyle w:val="Heading1"/>
      </w:pPr>
      <w:r>
        <w:t>24.8 NON-SOLICITATION</w:t>
      </w:r>
    </w:p>
    <w:p>
      <w:r>
        <w:t>• Consultants shall not solicit the Company’s employees, clients, vendors, partners, or associates during the term of engagement and for a defined post-termination period.</w:t>
        <w:br/>
        <w:t>• Non-solicitation clauses are drafted to be reasonable and enforceable under Indian law.</w:t>
        <w:br/>
        <w:t>• The restriction is intended to protect legitimate business interests, not restrain trade.</w:t>
      </w:r>
    </w:p>
    <w:p>
      <w:pPr>
        <w:pStyle w:val="Heading1"/>
      </w:pPr>
      <w:r>
        <w:t>24.9 TERMINATION &amp; EXIT MANAGEMENT</w:t>
      </w:r>
    </w:p>
    <w:p>
      <w:r>
        <w:t>• Consultant engagements may be terminated as per contractual notice provisions.</w:t>
        <w:br/>
        <w:t>• Immediate termination may occur for breach, misconduct, or IP/confidentiality violations.</w:t>
        <w:br/>
        <w:t>• Upon termination, all Company property and data must be returned.</w:t>
      </w:r>
    </w:p>
    <w:p>
      <w:pPr>
        <w:pStyle w:val="Heading1"/>
      </w:pPr>
      <w:r>
        <w:t>24.10 GOVERNANCE, REVIEW &amp; AUDIT</w:t>
      </w:r>
    </w:p>
    <w:p>
      <w:r>
        <w:t>• HR shall maintain a register of all consultants and contractors.</w:t>
        <w:br/>
        <w:t>• Periodic reviews shall be conducted to assess compliance and performance.</w:t>
        <w:br/>
        <w:t>• Consultant engagements may be audited as part of HR and compliance audits.</w:t>
        <w:br/>
        <w:t>• Deviations shall be reported to management and corrected promptly.</w:t>
      </w:r>
    </w:p>
    <w:p>
      <w:r>
        <w:br w:type="page"/>
      </w:r>
    </w:p>
    <w:p>
      <w:pPr>
        <w:pStyle w:val="Heading1"/>
      </w:pPr>
      <w:r>
        <w:t>APPROVAL &amp; SIGN-OFF</w:t>
      </w:r>
    </w:p>
    <w:p>
      <w:r>
        <w:t>Prepared By (HR): _______________________________  Date: ___________</w:t>
        <w:br/>
        <w:br/>
        <w:t>Reviewed By (Managing Director): ___________________  Date: ___________</w:t>
        <w:br/>
        <w:br/>
        <w:t>Noted By (Board): _______________________________  Date: 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