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25. ESOP / PHANTOM ESOP POLICY (FRAMEWORK)</w:t>
      </w:r>
    </w:p>
    <w:p>
      <w:r>
        <w:t>This document sets out the framework for an Employee Stock Option Plan (ESOP) and/or Phantom ESOP for ITBREAKCOM Private Limited. It is designed as an equity-linked retention mechanism aligned with investor expectations and shall be subject to detailed scheme approval by the Board of Directors and shareholders, as applicable.</w:t>
        <w:br/>
      </w:r>
    </w:p>
    <w:p>
      <w:pPr>
        <w:pStyle w:val="Heading1"/>
      </w:pPr>
      <w:r>
        <w:t>25.1 OBJECTIVE</w:t>
      </w:r>
    </w:p>
    <w:p>
      <w:r>
        <w:t>The objectives of the ESOP / Phantom ESOP framework are to:</w:t>
        <w:br/>
        <w:t>• Attract and retain high-quality talent</w:t>
        <w:br/>
        <w:t>• Align employee interests with long-term company value creation</w:t>
        <w:br/>
        <w:t>• Reduce cash compensation pressure during growth phases</w:t>
        <w:br/>
        <w:t>• Incentivize performance, loyalty, and leadership continuity</w:t>
        <w:br/>
        <w:t>• Meet market and investor expectations on equity-based incentives</w:t>
      </w:r>
    </w:p>
    <w:p>
      <w:pPr>
        <w:pStyle w:val="Heading1"/>
      </w:pPr>
      <w:r>
        <w:t>25.2 APPLICABILITY &amp; ELIGIBILITY</w:t>
      </w:r>
    </w:p>
    <w:p>
      <w:r>
        <w:t>• The ESOP / Phantom ESOP may be offered to eligible employees at M2 level and above, or such other categories as approved by the Board.</w:t>
        <w:br/>
        <w:t>• Consultants and advisors may be included only if permitted by applicable law and investor agreements.</w:t>
        <w:br/>
        <w:t>• Eligibility criteria shall be defined in the detailed scheme approved by the Board.</w:t>
      </w:r>
    </w:p>
    <w:p>
      <w:pPr>
        <w:pStyle w:val="Heading1"/>
      </w:pPr>
      <w:r>
        <w:t>25.3 TYPES OF INCENTIVE PLANS</w:t>
      </w:r>
    </w:p>
    <w:p>
      <w:r>
        <w:t>The Company may implement one or more of the following:</w:t>
        <w:br/>
        <w:br/>
        <w:t>A. ESOP (Equity-based):</w:t>
        <w:br/>
        <w:t>• Options to acquire equity shares at a predetermined price</w:t>
        <w:br/>
        <w:t>• Subject to vesting and exercise conditions</w:t>
        <w:br/>
        <w:br/>
        <w:t>B. Phantom ESOP (Cash-settled):</w:t>
        <w:br/>
        <w:t>• No actual equity issuance</w:t>
        <w:br/>
        <w:t>• Cash payout linked to notional share value or company valuation</w:t>
        <w:br/>
        <w:t>• Suitable where equity dilution is restricted</w:t>
      </w:r>
    </w:p>
    <w:p>
      <w:pPr>
        <w:pStyle w:val="Heading1"/>
      </w:pPr>
      <w:r>
        <w:t>25.4 GRANT &amp; VESTING PRINCIPLES</w:t>
      </w:r>
    </w:p>
    <w:p>
      <w:r>
        <w:t>• Grants shall be approved by the Board / ESOP Committee.</w:t>
        <w:br/>
        <w:t>• Vesting shall typically occur over a multi-year period (e.g., 3–4 years).</w:t>
        <w:br/>
        <w:t>• A minimum one-year cliff may apply unless waived by the Board.</w:t>
        <w:br/>
        <w:t>• Vesting may be linked to continued service and/or performance milestones.</w:t>
      </w:r>
    </w:p>
    <w:p>
      <w:pPr>
        <w:pStyle w:val="Heading1"/>
      </w:pPr>
      <w:r>
        <w:t>25.5 EXERCISE / PAYOUT MECHANISM</w:t>
      </w:r>
    </w:p>
    <w:p>
      <w:r>
        <w:t>• For ESOPs, vested options may be exercised within the period specified in the scheme.</w:t>
        <w:br/>
        <w:t>• For Phantom ESOPs, payout shall occur upon defined liquidity events or milestones.</w:t>
        <w:br/>
        <w:t>• Exercise price, payout formula, and timelines shall be defined in the detailed scheme.</w:t>
      </w:r>
    </w:p>
    <w:p>
      <w:pPr>
        <w:pStyle w:val="Heading1"/>
      </w:pPr>
      <w:r>
        <w:t>25.6 LIQUIDITY EVENTS</w:t>
      </w:r>
    </w:p>
    <w:p>
      <w:r>
        <w:t>Liquidity events triggering exercise or payout may include:</w:t>
        <w:br/>
        <w:t>• IPO</w:t>
        <w:br/>
        <w:t>• Strategic sale or merger</w:t>
        <w:br/>
        <w:t>• Secondary share sale approved by the Board</w:t>
        <w:br/>
        <w:t>• Other events as defined in the scheme and investor agreements</w:t>
      </w:r>
    </w:p>
    <w:p>
      <w:pPr>
        <w:pStyle w:val="Heading1"/>
      </w:pPr>
      <w:r>
        <w:t>25.7 LEAVER PROVISIONS</w:t>
      </w:r>
    </w:p>
    <w:p>
      <w:r>
        <w:t>• Treatment of vested and unvested options shall depend on leaver category:</w:t>
        <w:br/>
        <w:t xml:space="preserve">  – Good Leaver (resignation, retirement, redundancy)</w:t>
        <w:br/>
        <w:t xml:space="preserve">  – Bad Leaver (misconduct, termination for cause)</w:t>
        <w:br/>
        <w:t>• Specific consequences shall be defined in the detailed scheme.</w:t>
      </w:r>
    </w:p>
    <w:p>
      <w:pPr>
        <w:pStyle w:val="Heading1"/>
      </w:pPr>
      <w:r>
        <w:t>25.8 GOVERNANCE &amp; ADMINISTRATION</w:t>
      </w:r>
    </w:p>
    <w:p>
      <w:r>
        <w:t>• An ESOP Committee may be constituted by the Board.</w:t>
        <w:br/>
        <w:t>• HR shall administer grants, vesting records, and employee communication.</w:t>
        <w:br/>
        <w:t>• Proper records shall be maintained for audit and investor due diligence.</w:t>
      </w:r>
    </w:p>
    <w:p>
      <w:pPr>
        <w:pStyle w:val="Heading1"/>
      </w:pPr>
      <w:r>
        <w:t>25.9 TAXATION &amp; REGULATORY COMPLIANCE</w:t>
      </w:r>
    </w:p>
    <w:p>
      <w:r>
        <w:t>• Tax treatment shall be governed by applicable income tax laws.</w:t>
        <w:br/>
        <w:t>• Employees shall be responsible for personal tax liabilities.</w:t>
        <w:br/>
        <w:t>• The Company shall comply with applicable corporate and securities laws.</w:t>
      </w:r>
    </w:p>
    <w:p>
      <w:pPr>
        <w:pStyle w:val="Heading1"/>
      </w:pPr>
      <w:r>
        <w:t>25.10 INVESTOR &amp; SHA ALIGNMENT</w:t>
      </w:r>
    </w:p>
    <w:p>
      <w:r>
        <w:t>• The ESOP / Phantom ESOP shall be aligned with the Shareholders’ Agreement (SHA).</w:t>
        <w:br/>
        <w:t>• Dilution limits, reserved option pool, and consent rights shall follow investor terms.</w:t>
        <w:br/>
        <w:t>• Any conflict shall be resolved in favor of the SHA and Board-approved scheme.</w:t>
      </w:r>
    </w:p>
    <w:p>
      <w:pPr>
        <w:pStyle w:val="Heading1"/>
      </w:pPr>
      <w:r>
        <w:t>25.11 BOARD APPROVAL &amp; AMENDMENT</w:t>
      </w:r>
    </w:p>
    <w:p>
      <w:r>
        <w:t>• This framework requires Board approval.</w:t>
        <w:br/>
        <w:t>• A detailed ESOP / Phantom ESOP Scheme shall be separately drafted and approved.</w:t>
        <w:br/>
        <w:t>• The Board reserves the right to amend, suspend, or terminate the plan.</w:t>
      </w:r>
    </w:p>
    <w:p>
      <w:r>
        <w:br w:type="page"/>
      </w:r>
    </w:p>
    <w:p>
      <w:pPr>
        <w:pStyle w:val="Heading1"/>
      </w:pPr>
      <w:r>
        <w:t>APPROVAL &amp; SIGN-OFF</w:t>
      </w:r>
    </w:p>
    <w:p>
      <w:r>
        <w:t>Approved By (Board of Directors): _______________________________</w:t>
        <w:br/>
        <w:br/>
        <w:t>Resolution Date: _______________________________</w:t>
        <w:br/>
        <w:br/>
        <w:t>Effective Date: 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