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27. HR AUDIT &amp; COMPLIANCE REVIEW</w:t>
      </w:r>
    </w:p>
    <w:p>
      <w:r>
        <w:t>This section establishes the HR Audit &amp; Compliance Review framework of ITBREAKCOM Private Limited. It is designed to ensure statutory compliance, governance discipline, risk mitigation, and investor due-diligence readiness. This section forms an integral part of the Board-approved HR Governance Pack.</w:t>
        <w:br/>
      </w:r>
    </w:p>
    <w:p>
      <w:pPr>
        <w:pStyle w:val="Heading1"/>
      </w:pPr>
      <w:r>
        <w:t>27.1 OBJECTIVE</w:t>
      </w:r>
    </w:p>
    <w:p>
      <w:r>
        <w:t>The objective of HR Audit &amp; Compliance Review is to:</w:t>
        <w:br/>
        <w:t>• Ensure compliance with applicable labour and employment laws</w:t>
        <w:br/>
        <w:t>• Verify adherence to internal HR policies and procedures</w:t>
        <w:br/>
        <w:t>• Identify people-related risks and gaps</w:t>
        <w:br/>
        <w:t>• Maintain investor-ready HR documentation</w:t>
        <w:br/>
        <w:t>• Support informed decision-making by management and the Board</w:t>
      </w:r>
    </w:p>
    <w:p>
      <w:pPr>
        <w:pStyle w:val="Heading1"/>
      </w:pPr>
      <w:r>
        <w:t>27.2 SCOPE OF HR AUDIT</w:t>
      </w:r>
    </w:p>
    <w:p>
      <w:r>
        <w:t>The HR audit shall cover, but not be limited to:</w:t>
        <w:br/>
        <w:t>• Workforce classification (Employee / Trainee / Consultant)</w:t>
        <w:br/>
        <w:t>• Appointment letters and agreements</w:t>
        <w:br/>
        <w:t>• Payroll, compensation, and incentive records</w:t>
        <w:br/>
        <w:t>• Statutory compliance (PF, Bonus, Gratuity, POSH, etc.)</w:t>
        <w:br/>
        <w:t>• Performance management and PIP documentation</w:t>
        <w:br/>
        <w:t>• Exits, F&amp;F settlements, and attrition data</w:t>
        <w:br/>
        <w:t>• Policy adherence and disciplinary actions</w:t>
      </w:r>
    </w:p>
    <w:p>
      <w:pPr>
        <w:pStyle w:val="Heading1"/>
      </w:pPr>
      <w:r>
        <w:t>27.3 INTERNAL AUDIT FREQUENCY</w:t>
      </w:r>
    </w:p>
    <w:p>
      <w:r>
        <w:t>• HR audits shall be conducted at least once every financial year.</w:t>
        <w:br/>
        <w:t>• Additional audits may be conducted prior to fundraising, mergers, or restructuring.</w:t>
        <w:br/>
        <w:t>• Special audits may be initiated in case of regulatory changes or identified risks.</w:t>
      </w:r>
    </w:p>
    <w:p>
      <w:pPr>
        <w:pStyle w:val="Heading1"/>
      </w:pPr>
      <w:r>
        <w:t>27.4 DOCUMENTATION &amp; RECORDS REVIEW</w:t>
      </w:r>
    </w:p>
    <w:p>
      <w:r>
        <w:t>The following documents shall be reviewed during HR audits:</w:t>
        <w:br/>
        <w:t>• HR Policy Bible and Board Resolutions</w:t>
        <w:br/>
        <w:t>• Employee master data</w:t>
        <w:br/>
        <w:t>• Appointment letters, trainee agreements, consultant contracts</w:t>
        <w:br/>
        <w:t>• Payroll registers and payslips</w:t>
        <w:br/>
        <w:t>• PF, statutory filings, and challans</w:t>
        <w:br/>
        <w:t>• POSH records and ICC documentation</w:t>
        <w:br/>
        <w:t>• Performance appraisal and PIP records</w:t>
        <w:br/>
        <w:t>• Exit checklists and F&amp;F settlements</w:t>
      </w:r>
    </w:p>
    <w:p>
      <w:pPr>
        <w:pStyle w:val="Heading1"/>
      </w:pPr>
      <w:r>
        <w:t>27.5 RISK IDENTIFICATION &amp; REPORTING</w:t>
      </w:r>
    </w:p>
    <w:p>
      <w:r>
        <w:t>• HR shall identify compliance gaps, documentation lapses, and people-related risks.</w:t>
        <w:br/>
        <w:t>• Risks shall be categorized as High / Medium / Low.</w:t>
        <w:br/>
        <w:t>• A risk register shall be maintained with mitigation actions.</w:t>
        <w:br/>
        <w:t>• Material HR risks shall be reported to the Managing Director and the Board.</w:t>
      </w:r>
    </w:p>
    <w:p>
      <w:pPr>
        <w:pStyle w:val="Heading1"/>
      </w:pPr>
      <w:r>
        <w:t>27.6 CORRECTIVE &amp; PREVENTIVE ACTIONS</w:t>
      </w:r>
    </w:p>
    <w:p>
      <w:r>
        <w:t>• Corrective actions shall be initiated for all identified gaps.</w:t>
        <w:br/>
        <w:t>• Preventive measures shall be implemented to avoid recurrence.</w:t>
        <w:br/>
        <w:t>• Action owners and timelines shall be clearly defined.</w:t>
        <w:br/>
        <w:t>• Closure status shall be tracked and documented.</w:t>
      </w:r>
    </w:p>
    <w:p>
      <w:pPr>
        <w:pStyle w:val="Heading1"/>
      </w:pPr>
      <w:r>
        <w:t>27.7 INVESTOR DUE-DILIGENCE READINESS</w:t>
      </w:r>
    </w:p>
    <w:p>
      <w:r>
        <w:t>To ensure investor readiness:</w:t>
        <w:br/>
        <w:t>• HR records shall be maintained in a structured and retrievable manner.</w:t>
        <w:br/>
        <w:t>• Due-diligence checklists shall be periodically reviewed.</w:t>
        <w:br/>
        <w:t>• All deviations from policy shall be documented with approvals.</w:t>
        <w:br/>
        <w:t>• HR shall support investor queries during diligence processes.</w:t>
      </w:r>
    </w:p>
    <w:p>
      <w:pPr>
        <w:pStyle w:val="Heading1"/>
      </w:pPr>
      <w:r>
        <w:t>27.8 REPORTING &amp; REVIEW</w:t>
      </w:r>
    </w:p>
    <w:p>
      <w:r>
        <w:t>• HR audit findings shall be summarized in a formal report.</w:t>
        <w:br/>
        <w:t>• The report shall include observations, risk ratings, and action plans.</w:t>
        <w:br/>
        <w:t>• The Managing Director shall review the report.</w:t>
        <w:br/>
        <w:t>• Significant findings shall be presented to the Board, where applicable.</w:t>
      </w:r>
    </w:p>
    <w:p>
      <w:pPr>
        <w:pStyle w:val="Heading1"/>
      </w:pPr>
      <w:r>
        <w:t>27.9 RECORD RETENTION</w:t>
      </w:r>
    </w:p>
    <w:p>
      <w:r>
        <w:t>• HR audit reports and compliance records shall be retained for a minimum of seven (7) years.</w:t>
        <w:br/>
        <w:t>• Records shall be available for statutory inspections, audits, and investor due diligence.</w:t>
      </w:r>
    </w:p>
    <w:p>
      <w:r>
        <w:br w:type="page"/>
      </w:r>
    </w:p>
    <w:p>
      <w:pPr>
        <w:pStyle w:val="Heading1"/>
      </w:pPr>
      <w:r>
        <w:t>APPROVAL &amp; SIGN-OFF</w:t>
      </w:r>
    </w:p>
    <w:p>
      <w:r>
        <w:t>Prepared By (HR): _______________________________  Date: ___________</w:t>
        <w:br/>
        <w:br/>
        <w:t>Reviewed By (Managing Director): ___________________  Date: ___________</w:t>
        <w:br/>
        <w:br/>
        <w:t>Noted By (Board / Audit Committee): ________________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