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28. POLICY GOVERNANCE &amp; AMENDMENTS</w:t>
      </w:r>
    </w:p>
    <w:p>
      <w:pPr>
        <w:pStyle w:val="Normal"/>
        <w:rPr/>
      </w:pPr>
      <w:r>
        <w:rPr/>
        <w:t>This section defines the governance framework for ownership, version control, amendment, approval, and communication of all HR policies at ITBREAKCOM Private Limited. It forms an integral part of the Board-approved HR Governance Pack.</w:t>
        <w:br/>
      </w:r>
    </w:p>
    <w:p>
      <w:pPr>
        <w:pStyle w:val="Heading1"/>
        <w:rPr/>
      </w:pPr>
      <w:r>
        <w:rPr/>
        <w:t>28.1 POLICY OWNERSHIP</w:t>
      </w:r>
    </w:p>
    <w:p>
      <w:pPr>
        <w:pStyle w:val="Normal"/>
        <w:rPr/>
      </w:pPr>
      <w:r>
        <w:rPr/>
        <w:t xml:space="preserve">• </w:t>
      </w:r>
      <w:r>
        <w:rPr/>
        <w:t>The HR function shall be the custodian and owner of all HR policies.</w:t>
        <w:br/>
        <w:t>• The Managing Director (MD) shall have executive authority over HR policy implementation.</w:t>
        <w:br/>
        <w:t>• The Board of Directors shall approve all material HR policies and significant amendments.</w:t>
        <w:br/>
        <w:t>• Department Heads are responsible for enforcing policies within their teams.</w:t>
      </w:r>
    </w:p>
    <w:p>
      <w:pPr>
        <w:pStyle w:val="Heading1"/>
        <w:rPr/>
      </w:pPr>
      <w:r>
        <w:rPr/>
        <w:t>28.2 VERSION CONTROL</w:t>
      </w:r>
    </w:p>
    <w:p>
      <w:pPr>
        <w:pStyle w:val="Normal"/>
        <w:rPr/>
      </w:pPr>
      <w:r>
        <w:rPr/>
        <w:t xml:space="preserve">• </w:t>
      </w:r>
      <w:r>
        <w:rPr/>
        <w:t>All HR policies shall carry a version number, effective date, and approval reference.</w:t>
        <w:br/>
        <w:t>• Any revision shall result in an incremented version number (e.g., v1.0, v1.1, v2.0).</w:t>
        <w:br/>
        <w:t>• Obsolete versions shall be archived but retained for audit and legal reference.</w:t>
        <w:br/>
        <w:t>• Only the latest approved version shall be considered valid and enforceable.</w:t>
      </w:r>
    </w:p>
    <w:p>
      <w:pPr>
        <w:pStyle w:val="Heading1"/>
        <w:rPr/>
      </w:pPr>
      <w:r>
        <w:rPr/>
        <w:t>28.3 POLICY AMENDMENTS</w:t>
      </w:r>
    </w:p>
    <w:p>
      <w:pPr>
        <w:pStyle w:val="Normal"/>
        <w:rPr/>
      </w:pPr>
      <w:r>
        <w:rPr/>
        <w:t xml:space="preserve">• </w:t>
      </w:r>
      <w:r>
        <w:rPr/>
        <w:t>Policies may be amended due to changes in law, business strategy, organizational structure, or investor requirements.</w:t>
        <w:br/>
        <w:t>• Minor amendments (procedural clarifications) may be approved by the MD.</w:t>
        <w:br/>
        <w:t>• Material amendments impacting employee rights, compensation, compliance, or risk require Board approval.</w:t>
        <w:br/>
        <w:t>• All amendments shall be documented with rationale and approval authority.</w:t>
      </w:r>
    </w:p>
    <w:p>
      <w:pPr>
        <w:pStyle w:val="Heading1"/>
        <w:rPr/>
      </w:pPr>
      <w:r>
        <w:rPr/>
        <w:t>28.4 COMMUNICATION FRAMEWORK</w:t>
      </w:r>
    </w:p>
    <w:p>
      <w:pPr>
        <w:pStyle w:val="Normal"/>
        <w:rPr/>
      </w:pPr>
      <w:r>
        <w:rPr/>
        <w:t xml:space="preserve">• </w:t>
      </w:r>
      <w:r>
        <w:rPr/>
        <w:t>All new or amended policies shall be formally communicated to employees.</w:t>
        <w:br/>
        <w:t>• Communication may be through email, HR portal, handbook circulation, or town halls.</w:t>
        <w:br/>
        <w:t>• Employees are deemed to have accepted the policies upon communication.</w:t>
        <w:br/>
        <w:t>• Acknowledgement of receipt may be obtained where required.</w:t>
      </w:r>
    </w:p>
    <w:p>
      <w:pPr>
        <w:pStyle w:val="Heading1"/>
        <w:rPr/>
      </w:pPr>
      <w:r>
        <w:rPr/>
        <w:t>28.5 IMPLEMENTATION &amp; EFFECTIVE DATE</w:t>
      </w:r>
    </w:p>
    <w:p>
      <w:pPr>
        <w:pStyle w:val="Normal"/>
        <w:rPr/>
      </w:pPr>
      <w:r>
        <w:rPr/>
        <w:t xml:space="preserve">• </w:t>
      </w:r>
      <w:r>
        <w:rPr/>
        <w:t>Policies shall become effective from the date specified in the approval.</w:t>
        <w:br/>
        <w:t>• HR shall ensure training or clarification sessions where required.</w:t>
        <w:br/>
        <w:t>• Any conflict between previous practices and updated policy shall be resolved in favor of the latest approved policy.</w:t>
      </w:r>
    </w:p>
    <w:p>
      <w:pPr>
        <w:pStyle w:val="Heading1"/>
        <w:rPr/>
      </w:pPr>
      <w:r>
        <w:rPr/>
        <w:t>28.6 COMPLIANCE &amp; REVIEW</w:t>
      </w:r>
    </w:p>
    <w:p>
      <w:pPr>
        <w:pStyle w:val="Normal"/>
        <w:rPr/>
      </w:pPr>
      <w:r>
        <w:rPr/>
        <w:t xml:space="preserve">• </w:t>
      </w:r>
      <w:r>
        <w:rPr/>
        <w:t>Compliance with HR policies is mandatory for all employees, trainees, and consultants.</w:t>
        <w:br/>
        <w:t>• Non-compliance may result in disciplinary action.</w:t>
        <w:br/>
        <w:t>• HR policies shall be reviewed annually or earlier if required.</w:t>
        <w:br/>
        <w:t>• Internal audits may be conducted to ensure adherence.</w:t>
      </w:r>
    </w:p>
    <w:p>
      <w:pPr>
        <w:pStyle w:val="Heading1"/>
        <w:rPr/>
      </w:pPr>
      <w:r>
        <w:rPr/>
        <w:t>28.7 RECORD RETENTION</w:t>
      </w:r>
    </w:p>
    <w:p>
      <w:pPr>
        <w:pStyle w:val="Normal"/>
        <w:rPr/>
      </w:pPr>
      <w:r>
        <w:rPr/>
        <w:t xml:space="preserve">• </w:t>
      </w:r>
      <w:r>
        <w:rPr/>
        <w:t>Approved policies and amendments shall be retained for a minimum of seven (7) years.</w:t>
        <w:br/>
        <w:t>• Records may be required for statutory, audit, or investor due diligence purposes.</w:t>
      </w:r>
    </w:p>
    <w:p>
      <w:pPr>
        <w:pStyle w:val="Heading1"/>
        <w:rPr/>
      </w:pPr>
      <w:r>
        <w:rPr/>
        <w:t>28.8 GOVERNING AUTHORITY</w:t>
      </w:r>
    </w:p>
    <w:p>
      <w:pPr>
        <w:pStyle w:val="Normal"/>
        <w:rPr/>
      </w:pPr>
      <w:r>
        <w:rPr/>
        <w:t xml:space="preserve">• </w:t>
      </w:r>
      <w:r>
        <w:rPr/>
        <w:t>In case of interpretation issues, the decision of the Managing Director shall be final, subject to Board oversight.</w:t>
        <w:br/>
        <w:t>• This section shall be read in conjunction with the HR Policy Board Resolution.</w:t>
      </w:r>
    </w:p>
    <w:p>
      <w:pPr>
        <w:pStyle w:val="Heading1"/>
        <w:rPr/>
      </w:pPr>
      <w:r>
        <w:rPr/>
        <w:t>APPROVAL &amp; SIGN-OFF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Approved By:</w:t>
        <w:br/>
        <w:t>Name:</w:t>
        <w:br/>
        <w:t>Designation:</w:t>
        <w:br/>
        <w:t>Signature:</w:t>
        <w:br/>
        <w:t>Date: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LibreOffice/7.4.2.3$Windows_X86_64 LibreOffice_project/382eef1f22670f7f4118c8c2dd222ec7ad009daf</Application>
  <AppVersion>15.0000</AppVersion>
  <Pages>2</Pages>
  <Words>418</Words>
  <Characters>2359</Characters>
  <CharactersWithSpaces>2758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2025-12-29T14:00:26Z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