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 CORPORATE GOVERNANCE &amp; HR OVERSIGHT</w:t>
      </w:r>
    </w:p>
    <w:p>
      <w:r>
        <w:t>This policy defines the Corporate Governance &amp; HR Oversight framework of ITBREAKCOM Private Limited. It establishes Board-level oversight over HR governance and clarifies that all HR policies are binding and supersede any verbal or informal commitments. This policy forms an integral part of the Board-approved HR Governance Pack.</w:t>
        <w:br/>
      </w:r>
    </w:p>
    <w:p>
      <w:pPr>
        <w:pStyle w:val="Heading1"/>
      </w:pPr>
      <w:r>
        <w:t>2.1 OBJECTIVE</w:t>
      </w:r>
    </w:p>
    <w:p>
      <w:r>
        <w:t>The objectives of this policy are to:</w:t>
        <w:br/>
        <w:t>• Establish strong corporate governance over HR functions</w:t>
        <w:br/>
        <w:t>• Ensure accountability at Board and Founder-Director levels</w:t>
        <w:br/>
        <w:t>• Prevent unauthorized deviations from approved HR policies</w:t>
        <w:br/>
        <w:t>• Protect the Company from legal, compliance, and reputational risks</w:t>
        <w:br/>
        <w:t>• Ensure consistency, fairness, and transparency in people management</w:t>
      </w:r>
    </w:p>
    <w:p>
      <w:pPr>
        <w:pStyle w:val="Heading1"/>
      </w:pPr>
      <w:r>
        <w:t>2.2 HR GOVERNANCE STRUCTURE</w:t>
      </w:r>
    </w:p>
    <w:p>
      <w:r>
        <w:t>• The Board of Directors retains ultimate oversight over HR governance.</w:t>
        <w:br/>
        <w:t>• The Founder-Director is responsible for strategic HR leadership and enforcement.</w:t>
        <w:br/>
        <w:t>• HR function executes policies in line with Board-approved frameworks.</w:t>
        <w:br/>
        <w:t>• Any delegated authority must be documented in writing.</w:t>
      </w:r>
    </w:p>
    <w:p>
      <w:pPr>
        <w:pStyle w:val="Heading1"/>
      </w:pPr>
      <w:r>
        <w:t>2.3 BINDING NATURE OF HR POLICIES</w:t>
      </w:r>
    </w:p>
    <w:p>
      <w:r>
        <w:t>• All HR policies approved by the Board are binding on employees, management, and consultants.</w:t>
        <w:br/>
        <w:t>• HR policies supersede all verbal promises, informal assurances, or undocumented practices.</w:t>
        <w:br/>
        <w:t>• No individual has authority to override HR policies without formal approval.</w:t>
      </w:r>
    </w:p>
    <w:p>
      <w:pPr>
        <w:pStyle w:val="Heading1"/>
      </w:pPr>
      <w:r>
        <w:t>2.4 DEVIATIONS &amp; EXCEPTIONS</w:t>
      </w:r>
    </w:p>
    <w:p>
      <w:r>
        <w:t>• Any deviation from approved HR policies requires prior written approval.</w:t>
        <w:br/>
        <w:t>• Material deviations impacting compensation, role, or employment terms require Board approval.</w:t>
        <w:br/>
        <w:t>• Approved deviations must be documented and retained for audit purposes.</w:t>
      </w:r>
    </w:p>
    <w:p>
      <w:pPr>
        <w:pStyle w:val="Heading1"/>
      </w:pPr>
      <w:r>
        <w:t>2.5 ROLES &amp; RESPONSIBILITIES</w:t>
      </w:r>
    </w:p>
    <w:p>
      <w:r>
        <w:t>• Board of Directors: Oversight, approval of policies, and review of deviations.</w:t>
        <w:br/>
        <w:t>• Founder-Director: Enforcement, strategic direction, and escalation.</w:t>
        <w:br/>
        <w:t>• HR: Policy implementation, monitoring, and reporting.</w:t>
        <w:br/>
        <w:t>• Managers: Compliance with policies and escalation of exceptions.</w:t>
      </w:r>
    </w:p>
    <w:p>
      <w:pPr>
        <w:pStyle w:val="Heading1"/>
      </w:pPr>
      <w:r>
        <w:t>2.6 AUDIT &amp; COMPLIANCE</w:t>
      </w:r>
    </w:p>
    <w:p>
      <w:r>
        <w:t>• HR governance shall be reviewed periodically through internal audits.</w:t>
        <w:br/>
        <w:t>• Non-compliance shall be reported to management and Board as required.</w:t>
        <w:br/>
        <w:t>• Records shall be made available during statutory or investor audits.</w:t>
      </w:r>
    </w:p>
    <w:p>
      <w:r>
        <w:br w:type="page"/>
      </w:r>
    </w:p>
    <w:p>
      <w:pPr>
        <w:pStyle w:val="Heading1"/>
      </w:pPr>
      <w:r>
        <w:t>ACKNOWLEDGEMENT &amp; SIGN-OFF</w:t>
      </w:r>
    </w:p>
    <w:p>
      <w:r>
        <w:t>I acknowledge that I have read and understood the Corporate Governance &amp; HR Oversight policy and agree to comply with its provisions.</w:t>
        <w:br/>
        <w:br/>
        <w:t>Name:</w:t>
        <w:br/>
        <w:t>Designation:</w:t>
        <w:br/>
        <w:t>Signature:</w:t>
        <w:br/>
        <w:t>Date:</w:t>
        <w:br/>
        <w:br/>
        <w:t>-----------------------------------</w:t>
        <w:br/>
        <w:br/>
        <w:t>For ITBREAKCOM PRIVATE LIMITED</w:t>
        <w:br/>
        <w:t>Authorized Signatory:</w:t>
        <w:br/>
        <w:t>Signature: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