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3. WORKFORCE CLASSIFICATION FRAMEWORK</w:t>
      </w:r>
    </w:p>
    <w:p>
      <w:pPr>
        <w:pStyle w:val="Normal"/>
        <w:rPr/>
      </w:pPr>
      <w:r>
        <w:rPr/>
        <w:t>This Workforce Classification Framework defines the categories under which individuals may be engaged by ITBREAKCOM Private Limited. It establishes clear legal, contractual, and compliance distinctions between Employees, Trainees, Consultants, Interns, and Gig Workers to prevent misclassification risk. This framework forms an integral part of the Board-approved HR Governance Pack.</w:t>
        <w:br/>
      </w:r>
    </w:p>
    <w:p>
      <w:pPr>
        <w:pStyle w:val="Heading1"/>
        <w:rPr/>
      </w:pPr>
      <w:r>
        <w:rPr/>
        <w:t>3.1 OBJECTIVE</w:t>
      </w:r>
    </w:p>
    <w:p>
      <w:pPr>
        <w:pStyle w:val="Normal"/>
        <w:rPr/>
      </w:pPr>
      <w:r>
        <w:rPr/>
        <w:t>The objectives of this framework are to:</w:t>
        <w:br/>
        <w:t>• Clearly define workforce categories and engagement models</w:t>
        <w:br/>
        <w:t>• Ensure compliance with labour, tax, and regulatory requirements</w:t>
        <w:br/>
        <w:t>• Prevent employee misclassification and associated legal risks</w:t>
        <w:br/>
        <w:t>• Provide clarity on rights, benefits, and obligations</w:t>
        <w:br/>
        <w:t>• Maintain audit- and investor-ready workforce records</w:t>
      </w:r>
    </w:p>
    <w:p>
      <w:pPr>
        <w:pStyle w:val="Heading1"/>
        <w:rPr/>
      </w:pPr>
      <w:r>
        <w:rPr/>
        <w:t>3.2 WORKFORCE CATEGORIES</w:t>
      </w:r>
    </w:p>
    <w:p>
      <w:pPr>
        <w:pStyle w:val="Normal"/>
        <w:rPr/>
      </w:pPr>
      <w:r>
        <w:rPr/>
        <w:t>The Company recognizes the following workforce categories:</w:t>
        <w:br/>
        <w:br/>
        <w:t>• Employees (M1–M5)</w:t>
        <w:br/>
        <w:t>• Trainees (M0)</w:t>
        <w:br/>
        <w:t>• Consultants / Contractors (C1)</w:t>
        <w:br/>
        <w:t>• Interns</w:t>
        <w:br/>
        <w:t>• Gig Workers / Freelancers</w:t>
      </w:r>
    </w:p>
    <w:p>
      <w:pPr>
        <w:pStyle w:val="Heading1"/>
        <w:rPr/>
      </w:pPr>
      <w:r>
        <w:rPr/>
        <w:t>3.3 EMPLOYEES (M1–M5)</w:t>
      </w:r>
    </w:p>
    <w:p>
      <w:pPr>
        <w:pStyle w:val="Normal"/>
        <w:rPr/>
      </w:pPr>
      <w:r>
        <w:rPr/>
        <w:t xml:space="preserve">• </w:t>
      </w:r>
      <w:r>
        <w:rPr/>
        <w:t>Engaged under a contract of employment.</w:t>
        <w:br/>
        <w:t>• Eligible for statutory and Company benefits as applicable.</w:t>
        <w:br/>
        <w:t>• Governed by appointment letters and HR policies.</w:t>
        <w:br/>
        <w:t>• Subject to performance management, discipline, and statutory compliance (PF, ESIC, etc.).</w:t>
      </w:r>
    </w:p>
    <w:p>
      <w:pPr>
        <w:pStyle w:val="Heading1"/>
        <w:rPr/>
      </w:pPr>
      <w:r>
        <w:rPr/>
        <w:t>3.4 TRAINEES (M0)</w:t>
      </w:r>
    </w:p>
    <w:p>
      <w:pPr>
        <w:pStyle w:val="Normal"/>
        <w:rPr/>
      </w:pPr>
      <w:r>
        <w:rPr/>
        <w:t xml:space="preserve">• </w:t>
      </w:r>
      <w:r>
        <w:rPr/>
        <w:t>Engaged for training and learning purposes only.</w:t>
        <w:br/>
        <w:t>• Paid a stipend; not treated as employees.</w:t>
        <w:br/>
        <w:t>• Not eligible for PF, ESIC, bonus, or gratuity.</w:t>
        <w:br/>
        <w:t>• Governed by trainee appointment letters and training agreements.</w:t>
      </w:r>
    </w:p>
    <w:p>
      <w:pPr>
        <w:pStyle w:val="Heading1"/>
        <w:rPr/>
      </w:pPr>
      <w:r>
        <w:rPr/>
        <w:t>3.5 CONSULTANTS / CONTRACTORS (C1)</w:t>
      </w:r>
    </w:p>
    <w:p>
      <w:pPr>
        <w:pStyle w:val="Normal"/>
        <w:rPr/>
      </w:pPr>
      <w:r>
        <w:rPr/>
        <w:t xml:space="preserve">• </w:t>
      </w:r>
      <w:r>
        <w:rPr/>
        <w:t>Engaged on a principal-to-principal basis as independent contractors.</w:t>
        <w:br/>
        <w:t>• Paid professional fees against invoices.</w:t>
        <w:br/>
        <w:t>• Subject to TDS and GST as applicable.</w:t>
        <w:br/>
        <w:t>• Not entitled to employee benefits.</w:t>
        <w:br/>
        <w:t>• Governed by consultant agreements with IP and non-solicitation clauses.</w:t>
      </w:r>
    </w:p>
    <w:p>
      <w:pPr>
        <w:pStyle w:val="Heading1"/>
        <w:rPr/>
      </w:pPr>
      <w:r>
        <w:rPr/>
        <w:t>3.6 INTERNS</w:t>
      </w:r>
    </w:p>
    <w:p>
      <w:pPr>
        <w:pStyle w:val="Normal"/>
        <w:rPr/>
      </w:pPr>
      <w:r>
        <w:rPr/>
        <w:t xml:space="preserve">• </w:t>
      </w:r>
      <w:r>
        <w:rPr/>
        <w:t>Engaged for short-term academic or skill-based exposure.</w:t>
        <w:br/>
        <w:t>• May receive stipend or honorarium as applicable.</w:t>
        <w:br/>
        <w:t>• Not considered employees unless expressly stated.</w:t>
        <w:br/>
        <w:t>• Governed by internship letters and codes of conduct.</w:t>
      </w:r>
    </w:p>
    <w:p>
      <w:pPr>
        <w:pStyle w:val="Heading1"/>
        <w:rPr/>
      </w:pPr>
      <w:r>
        <w:rPr/>
        <w:t>3.7 GIG WORKERS / FREELANCERS</w:t>
      </w:r>
    </w:p>
    <w:p>
      <w:pPr>
        <w:pStyle w:val="Normal"/>
        <w:rPr/>
      </w:pPr>
      <w:r>
        <w:rPr/>
        <w:t xml:space="preserve">• </w:t>
      </w:r>
      <w:r>
        <w:rPr/>
        <w:t>Engaged for specific tasks or deliverables.</w:t>
        <w:br/>
        <w:t>• Paid per assignment or milestone.</w:t>
        <w:br/>
        <w:t>• No exclusivity or continuous employment obligation.</w:t>
        <w:br/>
        <w:t>• Governed by task-based contracts or platform terms.</w:t>
      </w:r>
    </w:p>
    <w:p>
      <w:pPr>
        <w:pStyle w:val="Heading1"/>
        <w:rPr/>
      </w:pPr>
      <w:r>
        <w:rPr/>
        <w:t>3.8 MISCLASSIFICATION RISK MITIGATION</w:t>
      </w:r>
    </w:p>
    <w:p>
      <w:pPr>
        <w:pStyle w:val="Normal"/>
        <w:rPr/>
      </w:pPr>
      <w:r>
        <w:rPr/>
        <w:t xml:space="preserve">• </w:t>
      </w:r>
      <w:r>
        <w:rPr/>
        <w:t>Each engagement must be correctly classified prior to onboarding.</w:t>
        <w:br/>
        <w:t>• HR and Finance shall review contracts and payment structures.</w:t>
        <w:br/>
        <w:t>• Reclassification, if required, shall be documented and approved.</w:t>
        <w:br/>
        <w:t>• Any deviation may attract disciplinary or corrective action.</w:t>
      </w:r>
    </w:p>
    <w:p>
      <w:pPr>
        <w:pStyle w:val="Heading1"/>
        <w:rPr/>
      </w:pPr>
      <w:r>
        <w:rPr/>
        <w:t>3.9 RECORDS &amp; GOVERNANCE</w:t>
      </w:r>
    </w:p>
    <w:p>
      <w:pPr>
        <w:pStyle w:val="Normal"/>
        <w:rPr/>
      </w:pPr>
      <w:r>
        <w:rPr/>
        <w:t xml:space="preserve">• </w:t>
      </w:r>
      <w:r>
        <w:rPr/>
        <w:t>HR shall maintain a workforce classification register.</w:t>
        <w:br/>
        <w:t>• Records shall be reviewed periodically and during audits.</w:t>
        <w:br/>
        <w:t>• Documentation shall be retained for a minimum of seven (7) years.</w:t>
      </w:r>
    </w:p>
    <w:p>
      <w:pPr>
        <w:pStyle w:val="Normal"/>
        <w:rPr/>
      </w:pPr>
      <w:r>
        <w:rPr/>
      </w:r>
      <w:r>
        <w:br w:type="page"/>
      </w:r>
    </w:p>
    <w:p>
      <w:pPr>
        <w:pStyle w:val="Heading1"/>
        <w:rPr/>
      </w:pPr>
      <w:r>
        <w:rPr/>
        <w:t>ACKNOWLEDGEMENT &amp; SIGN-OFF</w:t>
      </w:r>
    </w:p>
    <w:p>
      <w:pPr>
        <w:pStyle w:val="Normal"/>
        <w:widowControl/>
        <w:bidi w:val="0"/>
        <w:spacing w:lineRule="auto" w:line="276" w:before="0" w:after="200"/>
        <w:jc w:val="left"/>
        <w:rPr/>
      </w:pPr>
      <w:r>
        <w:rPr/>
        <w:t>I acknowledge that I have read and understood the Workforce Classification Framework and agree to comply with its provisions.</w:t>
        <w:br/>
        <w:br/>
        <w:t>Name:</w:t>
        <w:br/>
        <w:t>Designation:</w:t>
        <w:br/>
        <w:t>Signature:</w:t>
        <w:br/>
        <w:t>Date:</w:t>
        <w:br/>
        <w:br/>
        <w:t>-----------------------------------</w:t>
        <w:br/>
        <w:br/>
        <w:t>For ITBREAKCOM PRIVATE LIMITED</w:t>
        <w:br/>
        <w:t>Authorized Signatory:</w:t>
        <w:br/>
        <w:t>Signature:</w:t>
        <w:br/>
        <w:t>Date:</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LibreOffice/7.4.2.3$Windows_X86_64 LibreOffice_project/382eef1f22670f7f4118c8c2dd222ec7ad009daf</Application>
  <AppVersion>15.0000</AppVersion>
  <Pages>2</Pages>
  <Words>429</Words>
  <Characters>2593</Characters>
  <CharactersWithSpaces>3003</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