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 ORGANIZATIONAL STRUCTURE &amp; M-LEVEL ARCHITECTURE</w:t>
      </w:r>
    </w:p>
    <w:p>
      <w:r>
        <w:t>This policy defines the Organizational Structure &amp; M-Level Architecture of ITBREAKCOM Private Limited. It establishes the M-Level hierarchy as the primary framework governing authority, compensation bands, KPI ownership, and approval matrices. Job titles are secondary and descriptive; accountability flows through the M-Level structure. This policy forms an integral part of the Board-approved HR Governance Pack.</w:t>
        <w:br/>
      </w:r>
    </w:p>
    <w:p>
      <w:pPr>
        <w:pStyle w:val="Heading1"/>
      </w:pPr>
      <w:r>
        <w:t>4.1 OBJECTIVE</w:t>
      </w:r>
    </w:p>
    <w:p>
      <w:r>
        <w:t>The objectives of this policy are to:</w:t>
        <w:br/>
        <w:t>• Create a scalable and disciplined organizational structure</w:t>
        <w:br/>
        <w:t>• Clearly define authority, accountability, and decision rights</w:t>
        <w:br/>
        <w:t>• Standardize compensation and performance ownership across roles</w:t>
        <w:br/>
        <w:t>• Avoid title inflation and ambiguity</w:t>
        <w:br/>
        <w:t>• Align organizational design with growth and investor expectations</w:t>
      </w:r>
    </w:p>
    <w:p>
      <w:pPr>
        <w:pStyle w:val="Heading1"/>
      </w:pPr>
      <w:r>
        <w:t>4.2 M-LEVEL ARCHITECTURE OVERVIEW</w:t>
      </w:r>
    </w:p>
    <w:p>
      <w:r>
        <w:t>The Company follows a structured M-Level hierarchy:</w:t>
        <w:br/>
        <w:br/>
        <w:t>• M0 – Trainee / Apprentice</w:t>
        <w:br/>
        <w:t>• M1 – Executive / Associate</w:t>
        <w:br/>
        <w:t>• M2 – Senior Executive / Specialist</w:t>
        <w:br/>
        <w:t>• M3 – Manager / Lead</w:t>
        <w:br/>
        <w:t>• M4 – Senior Manager / Head (Function)</w:t>
        <w:br/>
        <w:t>• M5 – Business / Program Head</w:t>
        <w:br/>
        <w:t>• M6 – Founder / Managing Director</w:t>
        <w:br/>
        <w:br/>
        <w:t>Each M-Level carries defined authority, accountability, and expectations.</w:t>
      </w:r>
    </w:p>
    <w:p>
      <w:pPr>
        <w:pStyle w:val="Heading1"/>
      </w:pPr>
      <w:r>
        <w:t>4.3 AUTHORITY &amp; DECISION RIGHTS</w:t>
      </w:r>
    </w:p>
    <w:p>
      <w:r>
        <w:t>• Decision-making authority flows by M-Level, not by designation.</w:t>
        <w:br/>
        <w:t>• Approval limits for hiring, spending, and commitments are defined by M-Level.</w:t>
        <w:br/>
        <w:t>• Escalation paths follow the M-Level hierarchy.</w:t>
      </w:r>
    </w:p>
    <w:p>
      <w:pPr>
        <w:pStyle w:val="Heading1"/>
      </w:pPr>
      <w:r>
        <w:t>4.4 PAY BANDS &amp; COMPENSATION GOVERNANCE</w:t>
      </w:r>
    </w:p>
    <w:p>
      <w:r>
        <w:t>• Each M-Level shall have an approved pay band.</w:t>
        <w:br/>
        <w:t>• Compensation decisions must fall within the defined band unless specifically approved.</w:t>
        <w:br/>
        <w:t>• Variable pay eligibility and ESOP participation may vary by M-Level.</w:t>
      </w:r>
    </w:p>
    <w:p>
      <w:pPr>
        <w:pStyle w:val="Heading1"/>
      </w:pPr>
      <w:r>
        <w:t>4.5 KPI OWNERSHIP &amp; PERFORMANCE ACCOUNTABILITY</w:t>
      </w:r>
    </w:p>
    <w:p>
      <w:r>
        <w:t>• KPI ownership is assigned at the M-Level.</w:t>
        <w:br/>
        <w:t>• Each M-Level has defined outcome responsibilities.</w:t>
        <w:br/>
        <w:t>• Performance evaluations, incentives, and promotions are governed by M-Level KPIs.</w:t>
      </w:r>
    </w:p>
    <w:p>
      <w:pPr>
        <w:pStyle w:val="Heading1"/>
      </w:pPr>
      <w:r>
        <w:t>4.6 APPROVAL MATRIX</w:t>
      </w:r>
    </w:p>
    <w:p>
      <w:r>
        <w:t>• Hiring approvals, budget sanctions, and policy exceptions follow the M-Level approval matrix.</w:t>
        <w:br/>
        <w:t>• No approval may bypass the defined M-Level authority without written justification.</w:t>
      </w:r>
    </w:p>
    <w:p>
      <w:pPr>
        <w:pStyle w:val="Heading1"/>
      </w:pPr>
      <w:r>
        <w:t>4.7 ROLE TITLES &amp; DESIGNATIONS</w:t>
      </w:r>
    </w:p>
    <w:p>
      <w:r>
        <w:t>• Job titles are descriptive and externally oriented.</w:t>
        <w:br/>
        <w:t>• Titles do not confer authority beyond the assigned M-Level.</w:t>
        <w:br/>
        <w:t>• Any change in M-Level requires formal approval.</w:t>
      </w:r>
    </w:p>
    <w:p>
      <w:pPr>
        <w:pStyle w:val="Heading1"/>
      </w:pPr>
      <w:r>
        <w:t>4.8 REVIEW &amp; GOVERNANCE</w:t>
      </w:r>
    </w:p>
    <w:p>
      <w:r>
        <w:t>• Organizational structure and M-Level definitions shall be reviewed annually.</w:t>
        <w:br/>
        <w:t>• Changes may be made based on growth, restructuring, or strategy shifts.</w:t>
        <w:br/>
        <w:t>• All changes require management / Board approval as applicable.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Organizational Structure &amp; M-Level Architecture policy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