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9. COMPENSATION PHILOSOPHY &amp; CTC DESIGN</w:t>
      </w:r>
    </w:p>
    <w:p>
      <w:pPr>
        <w:pStyle w:val="Normal"/>
        <w:rPr/>
      </w:pPr>
      <w:r>
        <w:rPr/>
        <w:t>This Compensation Philosophy &amp; CTC Design policy defines ITBREAK COM Private Limited’s approach to employee compensation. It establishes a pay-for-performance model with a minimum CTC threshold, a structured fixed and variable pay mix, and compliance optimization for PF, ESIC, and investor scrutiny. This policy forms an integral part of the Board-approved HR Governance Pack.</w:t>
        <w:br/>
      </w:r>
    </w:p>
    <w:p>
      <w:pPr>
        <w:pStyle w:val="Heading1"/>
        <w:rPr/>
      </w:pPr>
      <w:r>
        <w:rPr/>
        <w:t>9.1 OBJECTIVE</w:t>
      </w:r>
    </w:p>
    <w:p>
      <w:pPr>
        <w:pStyle w:val="Normal"/>
        <w:rPr/>
      </w:pPr>
      <w:r>
        <w:rPr/>
        <w:t>The objectives of this policy are to:</w:t>
        <w:br/>
        <w:t>• Attract and retain high-quality talent</w:t>
        <w:br/>
        <w:t>• Align compensation with performance and business outcomes</w:t>
        <w:br/>
        <w:t>• Ensure internal equity and market competitiveness</w:t>
        <w:br/>
        <w:t>• Maintain statutory compliance (PF, ESIC, Bonus)</w:t>
        <w:br/>
        <w:t>• Meet investor expectations on compensation governance</w:t>
      </w:r>
    </w:p>
    <w:p>
      <w:pPr>
        <w:pStyle w:val="Heading1"/>
        <w:rPr/>
      </w:pPr>
      <w:r>
        <w:rPr/>
        <w:t>9.2 COMPENSATION PHILOSOPHY</w:t>
      </w:r>
    </w:p>
    <w:p>
      <w:pPr>
        <w:pStyle w:val="Normal"/>
        <w:rPr/>
      </w:pPr>
      <w:r>
        <w:rPr/>
        <w:t xml:space="preserve">• </w:t>
      </w:r>
      <w:r>
        <w:rPr/>
        <w:t>The Company follows a pay-for-performance philosophy.</w:t>
        <w:br/>
        <w:t>• Compensation decisions are based on role value, M-Level, performance, and market benchmarks.</w:t>
        <w:br/>
        <w:t>• Fixed pay ensures income stability; variable pay rewards outcomes.</w:t>
        <w:br/>
        <w:t>• Compensation structures are designed for scalability and transparency.</w:t>
      </w:r>
    </w:p>
    <w:p>
      <w:pPr>
        <w:pStyle w:val="Heading1"/>
        <w:rPr/>
      </w:pPr>
      <w:r>
        <w:rPr/>
        <w:t>9.3 MINIMUM CTC THRESHOLD</w:t>
      </w:r>
    </w:p>
    <w:p>
      <w:pPr>
        <w:pStyle w:val="Normal"/>
        <w:rPr/>
      </w:pPr>
      <w:r>
        <w:rPr/>
        <w:t xml:space="preserve">• </w:t>
      </w:r>
      <w:r>
        <w:rPr/>
        <w:t>The minimum Cost to Company (CTC) for any full-time employee shall be ₹23,000 per month.</w:t>
        <w:br/>
        <w:t>• This threshold supports statutory wage requirements and fair compensation practices.</w:t>
        <w:br/>
        <w:t>• Any exception requires Managing Director and HR approval.</w:t>
      </w:r>
    </w:p>
    <w:p>
      <w:pPr>
        <w:pStyle w:val="Heading1"/>
        <w:rPr/>
      </w:pPr>
      <w:r>
        <w:rPr/>
        <w:t>9.4 CTC STRUCTURE – FIXED &amp; VARIABLE</w:t>
      </w:r>
    </w:p>
    <w:p>
      <w:pPr>
        <w:pStyle w:val="Normal"/>
        <w:rPr/>
      </w:pPr>
      <w:r>
        <w:rPr/>
        <w:t>CTC shall typically comprise:</w:t>
        <w:br/>
        <w:br/>
        <w:t>Fixed Components:</w:t>
        <w:br/>
        <w:t>• Basic Salary</w:t>
        <w:br/>
        <w:t>• House Rent Allowance (HRA), where applicable</w:t>
        <w:br/>
        <w:t>• Other allowances</w:t>
        <w:br/>
        <w:br/>
        <w:t>Variable Components:</w:t>
        <w:br/>
        <w:t>• Performance-linked incentives</w:t>
        <w:br/>
        <w:t>• Sales or revenue incentives</w:t>
        <w:br/>
        <w:t>• Annual / quarterly bonuses</w:t>
      </w:r>
    </w:p>
    <w:p>
      <w:pPr>
        <w:pStyle w:val="Heading1"/>
        <w:rPr/>
      </w:pPr>
      <w:r>
        <w:rPr/>
        <w:t>9.5 STATUTORY OPTIMIZATION (PF / ESIC)</w:t>
      </w:r>
    </w:p>
    <w:p>
      <w:pPr>
        <w:pStyle w:val="Normal"/>
        <w:rPr/>
      </w:pPr>
      <w:r>
        <w:rPr/>
        <w:t xml:space="preserve">• </w:t>
      </w:r>
      <w:r>
        <w:rPr/>
        <w:t>PF contributions shall be calculated on Basic Salary as per law.</w:t>
        <w:br/>
        <w:t>• ESIC applicability shall be determined based on statutory wage thresholds.</w:t>
        <w:br/>
        <w:t>• CTC structures shall be designed to ensure compliance without artificial wage splitting.</w:t>
        <w:br/>
        <w:t>• Any changes in statutory limits shall be incorporated promptly.</w:t>
      </w:r>
    </w:p>
    <w:p>
      <w:pPr>
        <w:pStyle w:val="Heading1"/>
        <w:rPr/>
      </w:pPr>
      <w:r>
        <w:rPr/>
        <w:t>9.6 INTERNAL EQUITY &amp; MARKET BENCHMARKING</w:t>
      </w:r>
    </w:p>
    <w:p>
      <w:pPr>
        <w:pStyle w:val="Normal"/>
        <w:rPr/>
      </w:pPr>
      <w:r>
        <w:rPr/>
        <w:t xml:space="preserve">• </w:t>
      </w:r>
      <w:r>
        <w:rPr/>
        <w:t>Compensation shall be reviewed periodically for internal parity.</w:t>
        <w:br/>
        <w:t>• Market benchmarking may be conducted using industry data.</w:t>
        <w:br/>
        <w:t>• Disparities shall be corrected over time through structured revisions.</w:t>
      </w:r>
    </w:p>
    <w:p>
      <w:pPr>
        <w:pStyle w:val="Heading1"/>
        <w:rPr/>
      </w:pPr>
      <w:r>
        <w:rPr/>
        <w:t>9.7 INVESTOR &amp; GOVERNANCE CONSIDERATIONS</w:t>
      </w:r>
    </w:p>
    <w:p>
      <w:pPr>
        <w:pStyle w:val="Normal"/>
        <w:rPr/>
      </w:pPr>
      <w:r>
        <w:rPr/>
        <w:t xml:space="preserve">• </w:t>
      </w:r>
      <w:r>
        <w:rPr/>
        <w:t>Compensation practices shall be documented and auditable.</w:t>
        <w:br/>
        <w:t>• Any material deviations shall be approved by management / Board.</w:t>
        <w:br/>
        <w:t>• Compensation data shall be made available during investor due diligence.</w:t>
        <w:br/>
        <w:t>• ESOP and variable pay alignment shall follow approved policies.</w:t>
      </w:r>
    </w:p>
    <w:p>
      <w:pPr>
        <w:pStyle w:val="Heading1"/>
        <w:rPr/>
      </w:pPr>
      <w:r>
        <w:rPr/>
        <w:t>9.8 REVIEW &amp; AMENDMENT</w:t>
      </w:r>
    </w:p>
    <w:p>
      <w:pPr>
        <w:pStyle w:val="Normal"/>
        <w:rPr/>
      </w:pPr>
      <w:r>
        <w:rPr/>
        <w:t xml:space="preserve">• </w:t>
      </w:r>
      <w:r>
        <w:rPr/>
        <w:t>This policy shall be reviewed annually or earlier if required.</w:t>
        <w:br/>
        <w:t>• Amendments shall follow HR governance and Board approval processes.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ACKNOWLEDGEMENT &amp; SIGN-OFF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 acknowledge that I have read and understood the Compensation Philosophy &amp; CTC Design policy and agree to its principles.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 COM PRIVATE LIMITED</w:t>
        <w:br/>
        <w:t>Authorized Signatory:</w:t>
        <w:br/>
        <w:t>Signature:</w:t>
        <w:br/>
        <w:t>Date: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LibreOffice/7.4.2.3$Windows_X86_64 LibreOffice_project/382eef1f22670f7f4118c8c2dd222ec7ad009daf</Application>
  <AppVersion>15.0000</AppVersion>
  <Pages>3</Pages>
  <Words>419</Words>
  <Characters>2514</Characters>
  <CharactersWithSpaces>2920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2025-12-29T15:01:49Z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