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ANNEXURE J – HR DUE DILIGENCE CHECKLIST (INVESTOR)</w:t>
      </w:r>
    </w:p>
    <w:p>
      <w:r>
        <w:t>This checklist is designed for use during investor, VC, PE, or strategic due diligence. It reflects HR governance readiness of ITBREAKCOM Private Limited in line with its Board-approved HR Governance Pack.</w:t>
        <w:br/>
      </w:r>
    </w:p>
    <w:p>
      <w:pPr>
        <w:pStyle w:val="Heading1"/>
      </w:pPr>
      <w:r>
        <w:t>1. Corporate &amp; Workforce Overview</w:t>
      </w:r>
    </w:p>
    <w:p>
      <w:pPr>
        <w:pStyle w:val="ListBullet"/>
      </w:pPr>
      <w:r>
        <w:t>Total headcount (Employees / Trainees / Consultants)</w:t>
      </w:r>
    </w:p>
    <w:p>
      <w:pPr>
        <w:pStyle w:val="ListBullet"/>
      </w:pPr>
      <w:r>
        <w:t>Organization chart with M-Level hierarchy</w:t>
      </w:r>
    </w:p>
    <w:p>
      <w:pPr>
        <w:pStyle w:val="ListBullet"/>
      </w:pPr>
      <w:r>
        <w:t>List of key managerial personnel</w:t>
      </w:r>
    </w:p>
    <w:p>
      <w:pPr>
        <w:pStyle w:val="ListBullet"/>
      </w:pPr>
      <w:r>
        <w:t>Succession plan for critical roles</w:t>
      </w:r>
    </w:p>
    <w:p>
      <w:pPr>
        <w:pStyle w:val="Heading1"/>
      </w:pPr>
      <w:r>
        <w:t>2. Appointment &amp; Employment Documentation</w:t>
      </w:r>
    </w:p>
    <w:p>
      <w:pPr>
        <w:pStyle w:val="ListBullet"/>
      </w:pPr>
      <w:r>
        <w:t>Signed appointment letters for all M1–M5 employees</w:t>
      </w:r>
    </w:p>
    <w:p>
      <w:pPr>
        <w:pStyle w:val="ListBullet"/>
      </w:pPr>
      <w:r>
        <w:t>Signed trainee appointment letters (M0)</w:t>
      </w:r>
    </w:p>
    <w:p>
      <w:pPr>
        <w:pStyle w:val="ListBullet"/>
      </w:pPr>
      <w:r>
        <w:t>Offer letters and acceptance records</w:t>
      </w:r>
    </w:p>
    <w:p>
      <w:pPr>
        <w:pStyle w:val="ListBullet"/>
      </w:pPr>
      <w:r>
        <w:t>Employment contracts aligned with HR Policy Bible</w:t>
      </w:r>
    </w:p>
    <w:p>
      <w:pPr>
        <w:pStyle w:val="ListBullet"/>
      </w:pPr>
      <w:r>
        <w:t>Employee master data records</w:t>
      </w:r>
    </w:p>
    <w:p>
      <w:pPr>
        <w:pStyle w:val="Heading1"/>
      </w:pPr>
      <w:r>
        <w:t>3. Statutory Registrations &amp; Compliance</w:t>
      </w:r>
    </w:p>
    <w:p>
      <w:pPr>
        <w:pStyle w:val="ListBullet"/>
      </w:pPr>
      <w:r>
        <w:t>Shops &amp; Establishments registration</w:t>
      </w:r>
    </w:p>
    <w:p>
      <w:pPr>
        <w:pStyle w:val="ListBullet"/>
      </w:pPr>
      <w:r>
        <w:t>Provident Fund (EPF) registration and filings</w:t>
      </w:r>
    </w:p>
    <w:p>
      <w:pPr>
        <w:pStyle w:val="ListBullet"/>
      </w:pPr>
      <w:r>
        <w:t>ESIC registration (if applicable)</w:t>
      </w:r>
    </w:p>
    <w:p>
      <w:pPr>
        <w:pStyle w:val="ListBullet"/>
      </w:pPr>
      <w:r>
        <w:t>Professional Tax registration (state-wise)</w:t>
      </w:r>
    </w:p>
    <w:p>
      <w:pPr>
        <w:pStyle w:val="ListBullet"/>
      </w:pPr>
      <w:r>
        <w:t>Labour welfare fund compliance (if applicable)</w:t>
      </w:r>
    </w:p>
    <w:p>
      <w:pPr>
        <w:pStyle w:val="Heading1"/>
      </w:pPr>
      <w:r>
        <w:t>4. Payroll &amp; Compensation Records</w:t>
      </w:r>
    </w:p>
    <w:p>
      <w:pPr>
        <w:pStyle w:val="ListBullet"/>
      </w:pPr>
      <w:r>
        <w:t>Monthly payroll registers</w:t>
      </w:r>
    </w:p>
    <w:p>
      <w:pPr>
        <w:pStyle w:val="ListBullet"/>
      </w:pPr>
      <w:r>
        <w:t>Salary structure &amp; CTC break-ups</w:t>
      </w:r>
    </w:p>
    <w:p>
      <w:pPr>
        <w:pStyle w:val="ListBullet"/>
      </w:pPr>
      <w:r>
        <w:t>Variable pay and incentive payout records</w:t>
      </w:r>
    </w:p>
    <w:p>
      <w:pPr>
        <w:pStyle w:val="ListBullet"/>
      </w:pPr>
      <w:r>
        <w:t>PF challans and ECR filings</w:t>
      </w:r>
    </w:p>
    <w:p>
      <w:pPr>
        <w:pStyle w:val="ListBullet"/>
      </w:pPr>
      <w:r>
        <w:t>Statutory bonus calculation records</w:t>
      </w:r>
    </w:p>
    <w:p>
      <w:pPr>
        <w:pStyle w:val="ListBullet"/>
      </w:pPr>
      <w:r>
        <w:t>Payslips issued to employees</w:t>
      </w:r>
    </w:p>
    <w:p>
      <w:pPr>
        <w:pStyle w:val="Heading1"/>
      </w:pPr>
      <w:r>
        <w:t>5. POSH Compliance</w:t>
      </w:r>
    </w:p>
    <w:p>
      <w:pPr>
        <w:pStyle w:val="ListBullet"/>
      </w:pPr>
      <w:r>
        <w:t>POSH Policy document</w:t>
      </w:r>
    </w:p>
    <w:p>
      <w:pPr>
        <w:pStyle w:val="ListBullet"/>
      </w:pPr>
      <w:r>
        <w:t>Internal Complaints Committee (ICC) constitution order</w:t>
      </w:r>
    </w:p>
    <w:p>
      <w:pPr>
        <w:pStyle w:val="ListBullet"/>
      </w:pPr>
      <w:r>
        <w:t>Annual POSH training records</w:t>
      </w:r>
    </w:p>
    <w:p>
      <w:pPr>
        <w:pStyle w:val="ListBullet"/>
      </w:pPr>
      <w:r>
        <w:t>Complaint register (if any)</w:t>
      </w:r>
    </w:p>
    <w:p>
      <w:pPr>
        <w:pStyle w:val="ListBullet"/>
      </w:pPr>
      <w:r>
        <w:t>Annual POSH report filings</w:t>
      </w:r>
    </w:p>
    <w:p>
      <w:pPr>
        <w:pStyle w:val="Heading1"/>
      </w:pPr>
      <w:r>
        <w:t>6. Contractor &amp; Consultant Governance</w:t>
      </w:r>
    </w:p>
    <w:p>
      <w:pPr>
        <w:pStyle w:val="ListBullet"/>
      </w:pPr>
      <w:r>
        <w:t>Signed consultant / contractor agreements</w:t>
      </w:r>
    </w:p>
    <w:p>
      <w:pPr>
        <w:pStyle w:val="ListBullet"/>
      </w:pPr>
      <w:r>
        <w:t>TDS deduction and Form 16A records</w:t>
      </w:r>
    </w:p>
    <w:p>
      <w:pPr>
        <w:pStyle w:val="ListBullet"/>
      </w:pPr>
      <w:r>
        <w:t>GST invoices (if applicable)</w:t>
      </w:r>
    </w:p>
    <w:p>
      <w:pPr>
        <w:pStyle w:val="ListBullet"/>
      </w:pPr>
      <w:r>
        <w:t>Independent contractor classification review</w:t>
      </w:r>
    </w:p>
    <w:p>
      <w:pPr>
        <w:pStyle w:val="ListBullet"/>
      </w:pPr>
      <w:r>
        <w:t>Non-solicitation and IP clauses confirmation</w:t>
      </w:r>
    </w:p>
    <w:p>
      <w:pPr>
        <w:pStyle w:val="Heading1"/>
      </w:pPr>
      <w:r>
        <w:t>7. ESOP / Incentive Framework</w:t>
      </w:r>
    </w:p>
    <w:p>
      <w:pPr>
        <w:pStyle w:val="ListBullet"/>
      </w:pPr>
      <w:r>
        <w:t>ESOP / Phantom ESOP policy document</w:t>
      </w:r>
    </w:p>
    <w:p>
      <w:pPr>
        <w:pStyle w:val="ListBullet"/>
      </w:pPr>
      <w:r>
        <w:t>Board and shareholder approvals</w:t>
      </w:r>
    </w:p>
    <w:p>
      <w:pPr>
        <w:pStyle w:val="ListBullet"/>
      </w:pPr>
      <w:r>
        <w:t>Grant letters (if issued)</w:t>
      </w:r>
    </w:p>
    <w:p>
      <w:pPr>
        <w:pStyle w:val="ListBullet"/>
      </w:pPr>
      <w:r>
        <w:t>Vesting schedules</w:t>
      </w:r>
    </w:p>
    <w:p>
      <w:pPr>
        <w:pStyle w:val="ListBullet"/>
      </w:pPr>
      <w:r>
        <w:t>Cap table impact summary</w:t>
      </w:r>
    </w:p>
    <w:p>
      <w:pPr>
        <w:pStyle w:val="Heading1"/>
      </w:pPr>
      <w:r>
        <w:t>8. Performance &amp; Attrition Data</w:t>
      </w:r>
    </w:p>
    <w:p>
      <w:pPr>
        <w:pStyle w:val="ListBullet"/>
      </w:pPr>
      <w:r>
        <w:t>KPI &amp; appraisal records</w:t>
      </w:r>
    </w:p>
    <w:p>
      <w:pPr>
        <w:pStyle w:val="ListBullet"/>
      </w:pPr>
      <w:r>
        <w:t>Performance Improvement Plans (PIP)</w:t>
      </w:r>
    </w:p>
    <w:p>
      <w:pPr>
        <w:pStyle w:val="ListBullet"/>
      </w:pPr>
      <w:r>
        <w:t>Annual attrition data</w:t>
      </w:r>
    </w:p>
    <w:p>
      <w:pPr>
        <w:pStyle w:val="ListBullet"/>
      </w:pPr>
      <w:r>
        <w:t>Key exits and reasons</w:t>
      </w:r>
    </w:p>
    <w:p>
      <w:pPr>
        <w:pStyle w:val="ListBullet"/>
      </w:pPr>
      <w:r>
        <w:t>Retention metrics</w:t>
      </w:r>
    </w:p>
    <w:p>
      <w:pPr>
        <w:pStyle w:val="Heading1"/>
      </w:pPr>
      <w:r>
        <w:t>9. Litigation, Disputes &amp; Risks</w:t>
      </w:r>
    </w:p>
    <w:p>
      <w:pPr>
        <w:pStyle w:val="ListBullet"/>
      </w:pPr>
      <w:r>
        <w:t>List of current or past employee disputes</w:t>
      </w:r>
    </w:p>
    <w:p>
      <w:pPr>
        <w:pStyle w:val="ListBullet"/>
      </w:pPr>
      <w:r>
        <w:t>Labour court cases (if any)</w:t>
      </w:r>
    </w:p>
    <w:p>
      <w:pPr>
        <w:pStyle w:val="ListBullet"/>
      </w:pPr>
      <w:r>
        <w:t>Notices from statutory authorities</w:t>
      </w:r>
    </w:p>
    <w:p>
      <w:pPr>
        <w:pStyle w:val="ListBullet"/>
      </w:pPr>
      <w:r>
        <w:t>Settlement or closure documents</w:t>
      </w:r>
    </w:p>
    <w:p>
      <w:pPr>
        <w:pStyle w:val="ListBullet"/>
      </w:pPr>
      <w:r>
        <w:t>Risk mitigation measures</w:t>
      </w:r>
    </w:p>
    <w:p>
      <w:pPr>
        <w:pStyle w:val="Heading1"/>
      </w:pPr>
      <w:r>
        <w:t>10. HR Policies &amp; Governance</w:t>
      </w:r>
    </w:p>
    <w:p>
      <w:pPr>
        <w:pStyle w:val="ListBullet"/>
      </w:pPr>
      <w:r>
        <w:t>Master HR Policy Bible</w:t>
      </w:r>
    </w:p>
    <w:p>
      <w:pPr>
        <w:pStyle w:val="ListBullet"/>
      </w:pPr>
      <w:r>
        <w:t>Board Resolution approving HR policies</w:t>
      </w:r>
    </w:p>
    <w:p>
      <w:pPr>
        <w:pStyle w:val="ListBullet"/>
      </w:pPr>
      <w:r>
        <w:t>HR Governance Pack</w:t>
      </w:r>
    </w:p>
    <w:p>
      <w:pPr>
        <w:pStyle w:val="ListBullet"/>
      </w:pPr>
      <w:r>
        <w:t>Policy communication records</w:t>
      </w:r>
    </w:p>
    <w:p>
      <w:pPr>
        <w:pStyle w:val="ListBullet"/>
      </w:pPr>
      <w:r>
        <w:t>Internal HR audit reports</w:t>
      </w:r>
    </w:p>
    <w:p>
      <w:r>
        <w:br w:type="page"/>
      </w:r>
    </w:p>
    <w:p>
      <w:pPr>
        <w:pStyle w:val="Heading1"/>
      </w:pPr>
      <w:r>
        <w:t>CERTIFICATION</w:t>
      </w:r>
    </w:p>
    <w:p>
      <w:r>
        <w:t>This checklist has been reviewed and maintained by the HR function of ITBREAKCOM Private Limited and is accurate to the best of management’s knowledge as on the date of due diligence.</w:t>
        <w:br/>
        <w:br/>
        <w:t>Authorized Signatory:</w:t>
        <w:br/>
        <w:t>Name:</w:t>
        <w:br/>
        <w:t>Designation:</w:t>
        <w:br/>
        <w:t>Signature: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