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CONSULTANT / CONTRACTOR AGREEMENT (C1)</w:t>
      </w:r>
    </w:p>
    <w:p>
      <w:r>
        <w:t>Independent Contractor Engagement</w:t>
        <w:br/>
      </w:r>
    </w:p>
    <w:p>
      <w:r>
        <w:t>This Agreement is aligned with the Board-approved HR Governance Pack and Master HR Policy Bible of ITBREAKCOM Private Limited.</w:t>
        <w:br/>
      </w:r>
    </w:p>
    <w:p>
      <w:pPr>
        <w:pStyle w:val="Heading1"/>
      </w:pPr>
      <w:r>
        <w:t>1. PARTIES</w:t>
      </w:r>
    </w:p>
    <w:p>
      <w:r>
        <w:t>This Consultant / Contractor Agreement (“Agreement”) is entered into on _____________</w:t>
        <w:br/>
        <w:br/>
        <w:t>BETWEEN</w:t>
        <w:br/>
        <w:br/>
        <w:t>ITBREAKCOM PRIVATE LIMITED, a company incorporated under the Companies Act, 2013, having its registered office at ______________________________ (“Company”)</w:t>
        <w:br/>
        <w:br/>
        <w:t>AND</w:t>
        <w:br/>
        <w:br/>
        <w:t>__________________________, residing at ________________________, PAN ____________, GSTIN (if applicable) ____________ (“Consultant”).</w:t>
      </w:r>
    </w:p>
    <w:p>
      <w:pPr>
        <w:pStyle w:val="Heading1"/>
      </w:pPr>
      <w:r>
        <w:t>2. NATURE OF ENGAGEMENT</w:t>
      </w:r>
    </w:p>
    <w:p>
      <w:r>
        <w:t>2.1 The Consultant is engaged on a principal-to-principal, independent contractor basis.</w:t>
        <w:br/>
        <w:t>2.2 Nothing contained herein shall be construed as creating an employer–employee relationship, partnership, agency, or joint venture.</w:t>
        <w:br/>
        <w:t>2.3 The Consultant shall not represent themselves as an employee or agent of the Company.</w:t>
        <w:br/>
        <w:t>2.4 The Consultant is not entitled to any employee benefits including PF, ESIC, gratuity, bonus, leave, insurance, or other statutory benefits.</w:t>
      </w:r>
    </w:p>
    <w:p>
      <w:pPr>
        <w:pStyle w:val="Heading1"/>
      </w:pPr>
      <w:r>
        <w:t>3. SCOPE OF SERVICES</w:t>
      </w:r>
    </w:p>
    <w:p>
      <w:r>
        <w:t>The Consultant shall provide the following services (“Services”):</w:t>
        <w:br/>
        <w:br/>
        <w:t>Scope:</w:t>
        <w:br/>
        <w:t>• ________________________________________________________</w:t>
        <w:br/>
        <w:t>• ________________________________________________________</w:t>
        <w:br/>
        <w:t>• ________________________________________________________</w:t>
        <w:br/>
        <w:br/>
        <w:t>The Consultant shall perform the Services professionally, diligently, and in accordance with Company standards and timelines.</w:t>
      </w:r>
    </w:p>
    <w:p>
      <w:pPr>
        <w:pStyle w:val="Heading1"/>
      </w:pPr>
      <w:r>
        <w:t>4. TERM</w:t>
      </w:r>
    </w:p>
    <w:p>
      <w:r>
        <w:t>This Agreement shall commence on _____________ and shall remain valid until _____________ unless terminated earlier in accordance with this Agreement.</w:t>
      </w:r>
    </w:p>
    <w:p>
      <w:pPr>
        <w:pStyle w:val="Heading1"/>
      </w:pPr>
      <w:r>
        <w:t>5. FEES &amp; PAYMENT</w:t>
      </w:r>
    </w:p>
    <w:p>
      <w:r>
        <w:t>5.1 Professional Fees: ₹____________ per ____________.</w:t>
        <w:br/>
        <w:t>5.2 Payments shall be made against a valid invoice raised by the Consultant.</w:t>
        <w:br/>
        <w:t>5.3 TDS shall be deducted as applicable under the Income Tax Act, 1961.</w:t>
        <w:br/>
        <w:t>5.4 If the Consultant is GST-registered, GST-compliant invoices are mandatory.</w:t>
        <w:br/>
        <w:t>5.5 No other reimbursements or benefits shall be payable unless pre-approved in writing.</w:t>
      </w:r>
    </w:p>
    <w:p>
      <w:pPr>
        <w:pStyle w:val="Heading1"/>
      </w:pPr>
      <w:r>
        <w:t>6. TAXES &amp; COMPLIANCE</w:t>
      </w:r>
    </w:p>
    <w:p>
      <w:r>
        <w:t>The Consultant shall be solely responsible for all applicable taxes, filings, registrations, and statutory compliances including income tax and GST (if applicable). The Company shall not be liable for any non-compliance by the Consultant.</w:t>
      </w:r>
    </w:p>
    <w:p>
      <w:pPr>
        <w:pStyle w:val="Heading1"/>
      </w:pPr>
      <w:r>
        <w:t>7. CONFIDENTIALITY</w:t>
      </w:r>
    </w:p>
    <w:p>
      <w:r>
        <w:t>7.1 The Consultant shall maintain strict confidentiality of all Company information.</w:t>
        <w:br/>
        <w:t>7.2 Confidential obligations shall survive for three (3) years post termination.</w:t>
        <w:br/>
        <w:t>7.3 Confidential Information includes business data, pricing, strategy, IP, customer and vendor details.</w:t>
      </w:r>
    </w:p>
    <w:p>
      <w:pPr>
        <w:pStyle w:val="Heading1"/>
      </w:pPr>
      <w:r>
        <w:t>8. INTELLECTUAL PROPERTY</w:t>
      </w:r>
    </w:p>
    <w:p>
      <w:r>
        <w:t>8.1 All work products, deliverables, content, data, designs, software, or materials created during the engagement (“Work Product”) shall be the exclusive property of the Company.</w:t>
        <w:br/>
        <w:t>8.2 The Consultant hereby irrevocably assigns all rights, title, and interest in such Work Product to the Company.</w:t>
        <w:br/>
        <w:t>8.3 The Consultant warrants that the Work Product does not infringe any third-party rights.</w:t>
      </w:r>
    </w:p>
    <w:p>
      <w:pPr>
        <w:pStyle w:val="Heading1"/>
      </w:pPr>
      <w:r>
        <w:t>9. NON-SOLICITATION</w:t>
      </w:r>
    </w:p>
    <w:p>
      <w:r>
        <w:t>During the term of this Agreement and for twelve (12) months thereafter, the Consultant shall not solicit or attempt to solicit the Company’s employees, clients, vendors, or partners with whom the Consultant had direct dealings. This clause is intended to be enforceable under Section 27 of the Indian Contract Act, 1872.</w:t>
      </w:r>
    </w:p>
    <w:p>
      <w:pPr>
        <w:pStyle w:val="Heading1"/>
      </w:pPr>
      <w:r>
        <w:t>10. TERMINATION</w:t>
      </w:r>
    </w:p>
    <w:p>
      <w:r>
        <w:t>10.1 Either Party may terminate this Agreement by providing thirty (30) days’ written notice.</w:t>
        <w:br/>
        <w:t>10.2 The Company may terminate immediately without notice in case of breach, misconduct, fraud, confidentiality or IP violation.</w:t>
        <w:br/>
        <w:t>10.3 Upon termination, all Company materials shall be returned and outstanding deliverables completed.</w:t>
      </w:r>
    </w:p>
    <w:p>
      <w:pPr>
        <w:pStyle w:val="Heading1"/>
      </w:pPr>
      <w:r>
        <w:t>11. LIMITATION OF LIABILITY &amp; INDEMNITY</w:t>
      </w:r>
    </w:p>
    <w:p>
      <w:r>
        <w:t>11.1 The Consultant shall indemnify the Company against losses arising from breach, negligence, or misconduct.</w:t>
        <w:br/>
        <w:t>11.2 Except for fraud, confidentiality or IP breach, the Consultant’s liability shall be limited to fees paid in the preceding twelve (12) months.</w:t>
      </w:r>
    </w:p>
    <w:p>
      <w:pPr>
        <w:pStyle w:val="Heading1"/>
      </w:pPr>
      <w:r>
        <w:t>12. GOVERNING LAW &amp; DISPUTE RESOLUTION</w:t>
      </w:r>
    </w:p>
    <w:p>
      <w:r>
        <w:t>This Agreement shall be governed by the laws of India.</w:t>
        <w:br/>
        <w:t>Any dispute shall be resolved through arbitration under the Arbitration &amp; Conciliation Act, 1996 with seat at New Delhi. Courts at New Delhi shall have jurisdiction for interim relief.</w:t>
      </w:r>
    </w:p>
    <w:p>
      <w:pPr>
        <w:pStyle w:val="Heading1"/>
      </w:pPr>
      <w:r>
        <w:t>13. MISCELLANEOUS</w:t>
      </w:r>
    </w:p>
    <w:p>
      <w:r>
        <w:t>This Agreement constitutes the entire understanding between the Parties and supersedes all prior discussions. Amendments must be in writing and signed by both Parties.</w:t>
      </w:r>
    </w:p>
    <w:p>
      <w:r>
        <w:br w:type="page"/>
      </w:r>
    </w:p>
    <w:p>
      <w:pPr>
        <w:pStyle w:val="Heading1"/>
      </w:pPr>
      <w:r>
        <w:t>SIGNATURES</w:t>
      </w:r>
    </w:p>
    <w:p>
      <w:r>
        <w:t>For ITBREAKCOM PRIVATE LIMITED</w:t>
        <w:br/>
        <w:br/>
        <w:t>Authorized Signatory:</w:t>
        <w:br/>
        <w:t>Name:</w:t>
        <w:br/>
        <w:t>Designation:</w:t>
        <w:br/>
        <w:t>Signature:</w:t>
        <w:br/>
        <w:t>Date:</w:t>
        <w:br/>
        <w:br/>
        <w:t>-------------------------------</w:t>
        <w:br/>
        <w:br/>
        <w:t>For the Consultant</w:t>
        <w:br/>
        <w:br/>
        <w:t>Name:</w:t>
        <w:br/>
        <w:t>Signature:</w:t>
        <w:br/>
        <w:t>Date: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