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GOVERNANCE PACK</w:t>
      </w:r>
    </w:p>
    <w:p>
      <w:pPr>
        <w:pStyle w:val="Heading1"/>
      </w:pPr>
      <w:r>
        <w:t>ITBREAKCOM PRIVATE LIMITED</w:t>
      </w:r>
    </w:p>
    <w:p>
      <w:r>
        <w:t>Investor-Ready | Board-Approved | Editable Master Set</w:t>
        <w:br/>
      </w:r>
    </w:p>
    <w:p>
      <w:r>
        <w:br w:type="page"/>
      </w:r>
    </w:p>
    <w:p>
      <w:pPr>
        <w:pStyle w:val="Heading1"/>
      </w:pPr>
      <w:r>
        <w:t>PART A: MASTER HR POLICY BIBLE</w:t>
      </w:r>
    </w:p>
    <w:p>
      <w:pPr>
        <w:pStyle w:val="Title"/>
      </w:pPr>
      <w:r>
        <w:t>INVESTOR-GRADE HR HANDBOOK</w:t>
      </w:r>
    </w:p>
    <w:p>
      <w:pPr>
        <w:pStyle w:val="Heading1"/>
      </w:pPr>
      <w:r>
        <w:t>ITBREAKCOM PRIVATE LIMITED</w:t>
      </w:r>
    </w:p>
    <w:p>
      <w:pPr>
        <w:pStyle w:val="Normal"/>
      </w:pPr>
      <w:r>
        <w:t>Version 1.0 | FY 2025–27</w:t>
        <w:br/>
        <w:t>Confidential – Internal Circulation Only</w:t>
      </w:r>
    </w:p>
    <w:p>
      <w:pPr>
        <w:pStyle w:val="Normal"/>
      </w:pPr>
    </w:p>
    <w:p>
      <w:pPr>
        <w:pStyle w:val="Heading1"/>
      </w:pPr>
      <w:r>
        <w:t>1. Strategic HR Philosophy &amp; Investor Alignment</w:t>
      </w:r>
    </w:p>
    <w:p>
      <w:pPr>
        <w:pStyle w:val="Normal"/>
      </w:pPr>
      <w:r>
        <w:t>This handbook establishes ITBREAKCOM’s people governance framework aligned with venture capital,</w:t>
        <w:br/>
        <w:t>private equity, and institutional investor expectations. The objective is to build a scalable,</w:t>
        <w:br/>
        <w:t>compliant, performance-led organization capable of achieving ₹10 Crore revenue by January 2027.</w:t>
      </w:r>
    </w:p>
    <w:p>
      <w:pPr>
        <w:pStyle w:val="Heading1"/>
      </w:pPr>
      <w:r>
        <w:t>2. Corporate Governance &amp; HR Oversight</w:t>
      </w:r>
    </w:p>
    <w:p>
      <w:pPr>
        <w:pStyle w:val="Normal"/>
      </w:pPr>
      <w:r>
        <w:t>HR governance is overseen by the Board and Founder-Director. HR policies are binding and supersede</w:t>
        <w:br/>
        <w:t>all verbal commitments. Any deviation requires Board approval.</w:t>
      </w:r>
    </w:p>
    <w:p>
      <w:pPr>
        <w:pStyle w:val="Heading1"/>
      </w:pPr>
      <w:r>
        <w:t>3. Workforce Classification Framework</w:t>
      </w:r>
    </w:p>
    <w:p>
      <w:pPr>
        <w:pStyle w:val="Normal"/>
      </w:pPr>
      <w:r>
        <w:t>Employees (M1–M5), Trainees (M0), Consultants (C1), Interns, and Gig Workers are governed under</w:t>
        <w:br/>
        <w:t>distinct legal and compliance structures to avoid misclassification risk.</w:t>
      </w:r>
    </w:p>
    <w:p>
      <w:pPr>
        <w:pStyle w:val="Heading1"/>
      </w:pPr>
      <w:r>
        <w:t>4. Organizational Structure &amp; M-Level Architecture</w:t>
      </w:r>
    </w:p>
    <w:p>
      <w:pPr>
        <w:pStyle w:val="Normal"/>
      </w:pPr>
      <w:r>
        <w:t>M-Level hierarchy defines authority, pay bands, KPI ownership, and approval matrix.</w:t>
        <w:br/>
        <w:t>Titles are secondary to M-level accountability.</w:t>
      </w:r>
    </w:p>
    <w:p>
      <w:pPr>
        <w:pStyle w:val="Heading1"/>
      </w:pPr>
      <w:r>
        <w:t>5. Manpower Planning &amp; Hiring SOP</w:t>
      </w:r>
    </w:p>
    <w:p>
      <w:pPr>
        <w:pStyle w:val="Normal"/>
      </w:pPr>
      <w:r>
        <w:t>Annual manpower planning aligned with revenue targets.</w:t>
        <w:br/>
        <w:t>Mandatory JD, KPI ownership, interview scorecards, background verification, and approval workflow.</w:t>
      </w:r>
    </w:p>
    <w:p>
      <w:pPr>
        <w:pStyle w:val="Heading1"/>
      </w:pPr>
      <w:r>
        <w:t>6. Recruitment &amp; Selection Process (SOP)</w:t>
      </w:r>
    </w:p>
    <w:p>
      <w:pPr>
        <w:pStyle w:val="Normal"/>
      </w:pPr>
      <w:r>
        <w:t>Step-by-step SOP from requisition to onboarding.</w:t>
        <w:br/>
        <w:t>Includes interview panels, skill assessments, CRM literacy tests, and reference checks.</w:t>
      </w:r>
    </w:p>
    <w:p>
      <w:pPr>
        <w:pStyle w:val="Heading1"/>
      </w:pPr>
      <w:r>
        <w:t>7. Offer, Appointment &amp; Documentation</w:t>
      </w:r>
    </w:p>
    <w:p>
      <w:pPr>
        <w:pStyle w:val="Normal"/>
      </w:pPr>
      <w:r>
        <w:t>Standardized offer letters, appointment letters, trainee agreements, consultant contracts.</w:t>
        <w:br/>
        <w:t>No employment without signed documentation.</w:t>
      </w:r>
    </w:p>
    <w:p>
      <w:pPr>
        <w:pStyle w:val="Heading1"/>
      </w:pPr>
      <w:r>
        <w:t>8. Onboarding &amp; Probation Management</w:t>
      </w:r>
    </w:p>
    <w:p>
      <w:pPr>
        <w:pStyle w:val="Normal"/>
      </w:pPr>
      <w:r>
        <w:t>Structured onboarding checklist, buddy assignment, 30-60-90 day plans.</w:t>
        <w:br/>
        <w:t>Probation confirmation criteria clearly defined.</w:t>
      </w:r>
    </w:p>
    <w:p>
      <w:pPr>
        <w:pStyle w:val="Heading1"/>
      </w:pPr>
      <w:r>
        <w:t>9. Compensation Philosophy &amp; CTC Design</w:t>
      </w:r>
    </w:p>
    <w:p>
      <w:pPr>
        <w:pStyle w:val="Normal"/>
      </w:pPr>
      <w:r>
        <w:t>Pay-for-performance model.</w:t>
        <w:br/>
        <w:t>Minimum ₹23,000 CTC for employees.</w:t>
        <w:br/>
        <w:t>Fixed + Variable split optimized for ESIC/PF compliance and investor scrutiny.</w:t>
      </w:r>
    </w:p>
    <w:p>
      <w:pPr>
        <w:pStyle w:val="Heading1"/>
      </w:pPr>
      <w:r>
        <w:t>10. Variable Pay, Incentives &amp; Bonus Policy</w:t>
      </w:r>
    </w:p>
    <w:p>
      <w:pPr>
        <w:pStyle w:val="Normal"/>
      </w:pPr>
      <w:r>
        <w:t>KPI-linked incentives with gatekeeper rules.</w:t>
        <w:br/>
        <w:t>Statutory bonus compliance under Payment of Bonus Act.</w:t>
      </w:r>
    </w:p>
    <w:p>
      <w:pPr>
        <w:pStyle w:val="Heading1"/>
      </w:pPr>
      <w:r>
        <w:t>11. Performance Management System (PMS)</w:t>
      </w:r>
    </w:p>
    <w:p>
      <w:pPr>
        <w:pStyle w:val="Normal"/>
      </w:pPr>
      <w:r>
        <w:t>Quarterly KPIs, monthly reviews, dashboards, and scorecards.</w:t>
        <w:br/>
        <w:t>Direct linkage between performance, pay, promotion, and exits.</w:t>
      </w:r>
    </w:p>
    <w:p>
      <w:pPr>
        <w:pStyle w:val="Heading1"/>
      </w:pPr>
      <w:r>
        <w:t>12. Performance Improvement Plan (PIP) SOP</w:t>
      </w:r>
    </w:p>
    <w:p>
      <w:pPr>
        <w:pStyle w:val="Normal"/>
      </w:pPr>
      <w:r>
        <w:t>Legally defensible PIP framework with documentation, timelines, and exit protocols.</w:t>
      </w:r>
    </w:p>
    <w:p>
      <w:pPr>
        <w:pStyle w:val="Heading1"/>
      </w:pPr>
      <w:r>
        <w:t>13. Learning &amp; Development Framework</w:t>
      </w:r>
    </w:p>
    <w:p>
      <w:pPr>
        <w:pStyle w:val="Normal"/>
      </w:pPr>
      <w:r>
        <w:t>Continuous upskilling, certifications, leadership pipeline development,</w:t>
        <w:br/>
        <w:t>and internal mobility programs.</w:t>
      </w:r>
    </w:p>
    <w:p>
      <w:pPr>
        <w:pStyle w:val="Heading1"/>
      </w:pPr>
      <w:r>
        <w:t>14. Work Hours, Attendance &amp; Leave Policy</w:t>
      </w:r>
    </w:p>
    <w:p>
      <w:pPr>
        <w:pStyle w:val="Normal"/>
      </w:pPr>
      <w:r>
        <w:t>Working hours, attendance rules, leave types, accrual, carry-forward,</w:t>
        <w:br/>
        <w:t>and statutory compliance.</w:t>
      </w:r>
    </w:p>
    <w:p>
      <w:pPr>
        <w:pStyle w:val="Heading1"/>
      </w:pPr>
      <w:r>
        <w:t>15. Remote, Hybrid &amp; Flexible Work Policy</w:t>
      </w:r>
    </w:p>
    <w:p>
      <w:pPr>
        <w:pStyle w:val="Normal"/>
      </w:pPr>
      <w:r>
        <w:t>Eligibility, monitoring, data security, and productivity expectations.</w:t>
      </w:r>
    </w:p>
    <w:p>
      <w:pPr>
        <w:pStyle w:val="Heading1"/>
      </w:pPr>
      <w:r>
        <w:t>16. Travel, Expense &amp; Reimbursement SOP</w:t>
      </w:r>
    </w:p>
    <w:p>
      <w:pPr>
        <w:pStyle w:val="Normal"/>
      </w:pPr>
      <w:r>
        <w:t>CRM-linked reimbursement system, approvals, caps, audit controls.</w:t>
      </w:r>
    </w:p>
    <w:p>
      <w:pPr>
        <w:pStyle w:val="Heading1"/>
      </w:pPr>
      <w:r>
        <w:t>17. Statutory Compliance Framework (India)</w:t>
      </w:r>
    </w:p>
    <w:p>
      <w:pPr>
        <w:pStyle w:val="Normal"/>
      </w:pPr>
      <w:r>
        <w:t>EPF, ESIC, Gratuity, Bonus, Shops &amp; Establishments, Labour Codes readiness,</w:t>
        <w:br/>
        <w:t>Maternity Benefit, Equal Remuneration.</w:t>
      </w:r>
    </w:p>
    <w:p>
      <w:pPr>
        <w:pStyle w:val="Heading1"/>
      </w:pPr>
      <w:r>
        <w:t>18. POSH Policy &amp; Internal Complaints Committee</w:t>
      </w:r>
    </w:p>
    <w:p>
      <w:pPr>
        <w:pStyle w:val="Normal"/>
      </w:pPr>
      <w:r>
        <w:t>Zero tolerance policy.</w:t>
        <w:br/>
        <w:t>ICC constitution, complaint handling SOP, timelines, and penalties.</w:t>
      </w:r>
    </w:p>
    <w:p>
      <w:pPr>
        <w:pStyle w:val="Heading1"/>
      </w:pPr>
      <w:r>
        <w:t>19. Health, Safety &amp; Wellness</w:t>
      </w:r>
    </w:p>
    <w:p>
      <w:pPr>
        <w:pStyle w:val="Normal"/>
      </w:pPr>
      <w:r>
        <w:t>Workplace safety, mental health support, insurance, medical fitness.</w:t>
      </w:r>
    </w:p>
    <w:p>
      <w:pPr>
        <w:pStyle w:val="Heading1"/>
      </w:pPr>
      <w:r>
        <w:t>20. Code of Conduct &amp; Ethics</w:t>
      </w:r>
    </w:p>
    <w:p>
      <w:pPr>
        <w:pStyle w:val="Normal"/>
      </w:pPr>
      <w:r>
        <w:t>Integrity, confidentiality, data protection, anti-bribery,</w:t>
        <w:br/>
        <w:t>conflict of interest rules.</w:t>
      </w:r>
    </w:p>
    <w:p>
      <w:pPr>
        <w:pStyle w:val="Heading1"/>
      </w:pPr>
      <w:r>
        <w:t>21. Information Security &amp; IP Protection</w:t>
      </w:r>
    </w:p>
    <w:p>
      <w:pPr>
        <w:pStyle w:val="Normal"/>
      </w:pPr>
      <w:r>
        <w:t>Ownership of IP, confidentiality obligations,</w:t>
        <w:br/>
        <w:t>data protection aligned with DPDP Act, 2023.</w:t>
      </w:r>
    </w:p>
    <w:p>
      <w:pPr>
        <w:pStyle w:val="Heading1"/>
      </w:pPr>
      <w:r>
        <w:t>22. Disciplinary Action &amp; Misconduct Handling</w:t>
      </w:r>
    </w:p>
    <w:p>
      <w:pPr>
        <w:pStyle w:val="Normal"/>
      </w:pPr>
      <w:r>
        <w:t>Progressive discipline, domestic inquiry SOP,</w:t>
        <w:br/>
        <w:t>suspension, termination rules.</w:t>
      </w:r>
    </w:p>
    <w:p>
      <w:pPr>
        <w:pStyle w:val="Heading1"/>
      </w:pPr>
      <w:r>
        <w:t>23. Separation, Exit &amp; F&amp;F SOP</w:t>
      </w:r>
    </w:p>
    <w:p>
      <w:pPr>
        <w:pStyle w:val="Normal"/>
      </w:pPr>
      <w:r>
        <w:t>Notice periods, exit interviews, asset recovery,</w:t>
        <w:br/>
        <w:t>full &amp; final settlement timelines.</w:t>
      </w:r>
    </w:p>
    <w:p>
      <w:pPr>
        <w:pStyle w:val="Heading1"/>
      </w:pPr>
      <w:r>
        <w:t>24. Consultant &amp; Contractor Governance</w:t>
      </w:r>
    </w:p>
    <w:p>
      <w:pPr>
        <w:pStyle w:val="Normal"/>
      </w:pPr>
      <w:r>
        <w:t>Independent contractor framework, TDS/GST compliance,</w:t>
        <w:br/>
        <w:t>non-solicitation and IP protection.</w:t>
      </w:r>
    </w:p>
    <w:p>
      <w:pPr>
        <w:pStyle w:val="Heading1"/>
      </w:pPr>
      <w:r>
        <w:t>25. ESOP / Phantom ESOP Policy (Framework)</w:t>
      </w:r>
    </w:p>
    <w:p>
      <w:pPr>
        <w:pStyle w:val="Normal"/>
      </w:pPr>
      <w:r>
        <w:t>Equity-linked retention mechanisms aligned with investor expectations.</w:t>
        <w:br/>
        <w:t>Detailed scheme to be approved by Board.</w:t>
      </w:r>
    </w:p>
    <w:p>
      <w:pPr>
        <w:pStyle w:val="Heading1"/>
      </w:pPr>
      <w:r>
        <w:t>26. Succession Planning &amp; Leadership Continuity</w:t>
      </w:r>
    </w:p>
    <w:p>
      <w:pPr>
        <w:pStyle w:val="Normal"/>
      </w:pPr>
      <w:r>
        <w:t>Critical role mapping, emergency succession, founder risk mitigation.</w:t>
      </w:r>
    </w:p>
    <w:p>
      <w:pPr>
        <w:pStyle w:val="Heading1"/>
      </w:pPr>
      <w:r>
        <w:t>27. HR Audit &amp; Compliance Review</w:t>
      </w:r>
    </w:p>
    <w:p>
      <w:pPr>
        <w:pStyle w:val="Normal"/>
      </w:pPr>
      <w:r>
        <w:t>Internal audits, documentation, risk reporting,</w:t>
        <w:br/>
        <w:t>and investor due-diligence readiness.</w:t>
      </w:r>
    </w:p>
    <w:p>
      <w:pPr>
        <w:pStyle w:val="Heading1"/>
      </w:pPr>
      <w:r>
        <w:t>28. Policy Governance &amp; Amendments</w:t>
      </w:r>
    </w:p>
    <w:p>
      <w:pPr>
        <w:pStyle w:val="Normal"/>
      </w:pPr>
      <w:r>
        <w:t>Policy ownership, version control, amendments,</w:t>
        <w:br/>
        <w:t>and communication framework.</w:t>
      </w:r>
    </w:p>
    <w:p>
      <w:pPr>
        <w:pStyle w:val="Normal"/>
      </w:pPr>
    </w:p>
    <w:p>
      <w:pPr>
        <w:pStyle w:val="Heading1"/>
      </w:pPr>
      <w:r>
        <w:t>ANNEXURES &amp; TEMPLATES</w:t>
      </w:r>
    </w:p>
    <w:p>
      <w:pPr>
        <w:pStyle w:val="ListBullet"/>
      </w:pPr>
      <w:r>
        <w:t>Annexure A – Organization Chart</w:t>
      </w:r>
    </w:p>
    <w:p>
      <w:pPr>
        <w:pStyle w:val="ListBullet"/>
      </w:pPr>
      <w:r>
        <w:t>Annexure B – Job Description Template</w:t>
      </w:r>
    </w:p>
    <w:p>
      <w:pPr>
        <w:pStyle w:val="ListBullet"/>
      </w:pPr>
      <w:r>
        <w:t>Annexure C – KPI &amp; KRA Scorecard Template</w:t>
      </w:r>
    </w:p>
    <w:p>
      <w:pPr>
        <w:pStyle w:val="ListBullet"/>
      </w:pPr>
      <w:r>
        <w:t>Annexure D – Offer Letter Template</w:t>
      </w:r>
    </w:p>
    <w:p>
      <w:pPr>
        <w:pStyle w:val="ListBullet"/>
      </w:pPr>
      <w:r>
        <w:t>Annexure E – Appointment Letter Template</w:t>
      </w:r>
    </w:p>
    <w:p>
      <w:pPr>
        <w:pStyle w:val="ListBullet"/>
      </w:pPr>
      <w:r>
        <w:t>Annexure F – Trainee Agreement Template</w:t>
      </w:r>
    </w:p>
    <w:p>
      <w:pPr>
        <w:pStyle w:val="ListBullet"/>
      </w:pPr>
      <w:r>
        <w:t>Annexure G – Consultant Agreement Template</w:t>
      </w:r>
    </w:p>
    <w:p>
      <w:pPr>
        <w:pStyle w:val="ListBullet"/>
      </w:pPr>
      <w:r>
        <w:t>Annexure H – PIP Template</w:t>
      </w:r>
    </w:p>
    <w:p>
      <w:pPr>
        <w:pStyle w:val="ListBullet"/>
      </w:pPr>
      <w:r>
        <w:t>Annexure I – Exit Checklist</w:t>
      </w:r>
    </w:p>
    <w:p>
      <w:pPr>
        <w:pStyle w:val="ListBullet"/>
      </w:pPr>
      <w:r>
        <w:t>Annexure J – HR Due Diligence Checklist (Investor)</w:t>
      </w:r>
    </w:p>
    <w:p>
      <w:pPr>
        <w:pStyle w:val="Normal"/>
      </w:pPr>
    </w:p>
    <w:p>
      <w:pPr>
        <w:pStyle w:val="Title"/>
      </w:pPr>
      <w:r>
        <w:t>PART B: ANNEXURES &amp; FORMS</w:t>
      </w:r>
    </w:p>
    <w:p>
      <w:pPr>
        <w:pStyle w:val="Title"/>
      </w:pPr>
      <w:r>
        <w:t>ANNEXURE COMPENDIUM – READY TO USE HR FORMS</w:t>
      </w:r>
    </w:p>
    <w:p>
      <w:pPr>
        <w:pStyle w:val="Normal"/>
      </w:pPr>
      <w:r>
        <w:t>ITBREAKCOM PRIVATE LIMITED</w:t>
        <w:br/>
        <w:t>Version 1.0 | Confidential</w:t>
        <w:br/>
      </w:r>
    </w:p>
    <w:p>
      <w:pPr>
        <w:pStyle w:val="Normal"/>
      </w:pPr>
    </w:p>
    <w:p>
      <w:pPr>
        <w:pStyle w:val="Heading1"/>
      </w:pPr>
      <w:r>
        <w:t>ANNEXURE A – ORGANIZATION CHART TEMPLATE</w:t>
      </w:r>
    </w:p>
    <w:p>
      <w:pPr>
        <w:pStyle w:val="Normal"/>
      </w:pPr>
      <w:r>
        <w:t>Founder &amp; Managing Director (M6)</w:t>
        <w:br/>
        <w:t xml:space="preserve"> |</w:t>
        <w:br/>
        <w:t>Head of Programs (M5)</w:t>
        <w:br/>
        <w:t xml:space="preserve"> |</w:t>
        <w:br/>
        <w:t>-------------------------------------------------</w:t>
        <w:br/>
        <w:t>|                    |                          |</w:t>
        <w:br/>
        <w:t>Growth Division      Product &amp; Tech Division    Operations Division</w:t>
        <w:br/>
        <w:t>(M3–M2–M1)            (M3–M2–M1)                  (M3–M2–M1)</w:t>
        <w:br/>
        <w:br/>
        <w:t>Note: Exact reporting lines are approved annually based on revenue plan.</w:t>
      </w:r>
    </w:p>
    <w:p>
      <w:pPr>
        <w:pStyle w:val="Normal"/>
      </w:pPr>
    </w:p>
    <w:p>
      <w:pPr>
        <w:pStyle w:val="Heading1"/>
      </w:pPr>
      <w:r>
        <w:t>ANNEXURE B – JOB DESCRIPTION (JD) TEMPLATE</w:t>
      </w:r>
    </w:p>
    <w:p>
      <w:pPr>
        <w:pStyle w:val="Normal"/>
      </w:pPr>
      <w:r>
        <w:t>Job Title:</w:t>
        <w:br/>
        <w:t>Department:</w:t>
        <w:br/>
        <w:t>M-Level:</w:t>
        <w:br/>
        <w:t>Reporting To:</w:t>
        <w:br/>
        <w:t>Location:</w:t>
        <w:br/>
        <w:t>Employment Type:</w:t>
        <w:br/>
        <w:br/>
        <w:t>ROLE PURPOSE:</w:t>
        <w:br/>
        <w:t>Brief description of why the role exists.</w:t>
        <w:br/>
        <w:br/>
        <w:t>KEY RESPONSIBILITIES:</w:t>
        <w:br/>
        <w:t>1.</w:t>
        <w:br/>
        <w:t>2.</w:t>
        <w:br/>
        <w:t>3.</w:t>
        <w:br/>
        <w:br/>
        <w:t>KEY PERFORMANCE INDICATORS (KPIs):</w:t>
        <w:br/>
        <w:t>• Revenue / Output:</w:t>
        <w:br/>
        <w:t>• Quality:</w:t>
        <w:br/>
        <w:t>• Timelines:</w:t>
        <w:br/>
        <w:br/>
        <w:t>SKILLS &amp; QUALIFICATIONS:</w:t>
        <w:br/>
        <w:t>• Education:</w:t>
        <w:br/>
        <w:t>• Experience:</w:t>
        <w:br/>
        <w:t>• Tools:</w:t>
        <w:br/>
        <w:br/>
        <w:t>COMPETENCIES:</w:t>
        <w:br/>
        <w:t>• Ownership</w:t>
        <w:br/>
        <w:t>• Analytical Ability</w:t>
        <w:br/>
        <w:t>• Communication</w:t>
      </w:r>
    </w:p>
    <w:p>
      <w:pPr>
        <w:pStyle w:val="Normal"/>
      </w:pPr>
    </w:p>
    <w:p>
      <w:pPr>
        <w:pStyle w:val="Heading1"/>
      </w:pPr>
      <w:r>
        <w:t>ANNEXURE C – KPI &amp; KRA SCORECARD</w:t>
      </w:r>
    </w:p>
    <w:p>
      <w:pPr>
        <w:pStyle w:val="Normal"/>
      </w:pPr>
      <w:r>
        <w:t>Employee Name:</w:t>
        <w:br/>
        <w:t>Employee Code:</w:t>
        <w:br/>
        <w:t>Role &amp; M-Level:</w:t>
        <w:br/>
        <w:t>Review Period:</w:t>
        <w:br/>
        <w:br/>
        <w:t>KRA 1:</w:t>
        <w:br/>
        <w:t>Target:</w:t>
        <w:br/>
        <w:t>Achievement:</w:t>
        <w:br/>
        <w:t>Score:</w:t>
        <w:br/>
        <w:br/>
        <w:t>KRA 2:</w:t>
        <w:br/>
        <w:t>Target:</w:t>
        <w:br/>
        <w:t>Achievement:</w:t>
        <w:br/>
        <w:t>Score:</w:t>
        <w:br/>
        <w:br/>
        <w:t>Overall Rating:</w:t>
        <w:br/>
        <w:t>Manager Comments:</w:t>
        <w:br/>
        <w:t>Employee Comments:</w:t>
        <w:br/>
        <w:t>Final Recommendation: Confirm / Increment / PIP</w:t>
      </w:r>
    </w:p>
    <w:p>
      <w:pPr>
        <w:pStyle w:val="Normal"/>
      </w:pPr>
    </w:p>
    <w:p>
      <w:pPr>
        <w:pStyle w:val="Heading1"/>
      </w:pPr>
      <w:r>
        <w:t>ANNEXURE D – OFFER LETTER TEMPLATE</w:t>
      </w:r>
    </w:p>
    <w:p>
      <w:pPr>
        <w:pStyle w:val="Normal"/>
      </w:pPr>
      <w:r>
        <w:t>Subject: Offer of Employment</w:t>
        <w:br/>
        <w:br/>
        <w:t>We are pleased to offer you the position of __________ at ITBREAKCOM Private Limited.</w:t>
        <w:br/>
        <w:br/>
        <w:t>Your appointment is subject to:</w:t>
        <w:br/>
        <w:t>• Background verification</w:t>
        <w:br/>
        <w:t>• Acceptance of HR Policies</w:t>
        <w:br/>
        <w:t>• Probation of ___ months</w:t>
        <w:br/>
        <w:br/>
        <w:t>Detailed terms will be governed by the Appointment Letter.</w:t>
        <w:br/>
        <w:br/>
        <w:t>Authorized Signatory</w:t>
      </w:r>
    </w:p>
    <w:p>
      <w:pPr>
        <w:pStyle w:val="Normal"/>
      </w:pPr>
    </w:p>
    <w:p>
      <w:pPr>
        <w:pStyle w:val="Heading1"/>
      </w:pPr>
      <w:r>
        <w:t>ANNEXURE E – APPOINTMENT LETTER TEMPLATE</w:t>
      </w:r>
    </w:p>
    <w:p>
      <w:pPr>
        <w:pStyle w:val="Normal"/>
      </w:pPr>
      <w:r>
        <w:t>This appointment is governed by:</w:t>
        <w:br/>
        <w:t>• Compensation &amp; CTC structure</w:t>
        <w:br/>
        <w:t>• Working hours &amp; leave policy</w:t>
        <w:br/>
        <w:t>• Confidentiality &amp; IP clauses</w:t>
        <w:br/>
        <w:t>• Termination &amp; notice period</w:t>
        <w:br/>
        <w:br/>
        <w:t>Employee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F – TRAINEE AGREEMENT TEMPLATE</w:t>
      </w:r>
    </w:p>
    <w:p>
      <w:pPr>
        <w:pStyle w:val="Normal"/>
      </w:pPr>
      <w:r>
        <w:t>Nature: Training Engagement (Non-employment)</w:t>
        <w:br/>
        <w:t>Duration:</w:t>
        <w:br/>
        <w:t>Monthly Stipend:</w:t>
        <w:br/>
        <w:t>Confidentiality &amp; IP obligations apply.</w:t>
        <w:br/>
        <w:t>Termination with 7 days notice.</w:t>
        <w:br/>
        <w:br/>
        <w:t>Trainee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G – CONSULTANT AGREEMENT TEMPLATE</w:t>
      </w:r>
    </w:p>
    <w:p>
      <w:pPr>
        <w:pStyle w:val="Normal"/>
      </w:pPr>
      <w:r>
        <w:t>Nature: Independent Contractor</w:t>
        <w:br/>
        <w:t>Fee Structure:</w:t>
        <w:br/>
        <w:t>TDS/GST Compliance:</w:t>
        <w:br/>
        <w:t>No employee benefits.</w:t>
        <w:br/>
        <w:t>IP assignment mandatory.</w:t>
        <w:br/>
        <w:br/>
        <w:t>Consultant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H – PERFORMANCE IMPROVEMENT PLAN (PIP)</w:t>
      </w:r>
    </w:p>
    <w:p>
      <w:pPr>
        <w:pStyle w:val="Normal"/>
      </w:pPr>
      <w:r>
        <w:t>Reason for PIP:</w:t>
        <w:br/>
        <w:t>Performance Gaps Identified:</w:t>
        <w:br/>
        <w:t>Targets for 30 Days:</w:t>
        <w:br/>
        <w:t>Support Provided:</w:t>
        <w:br/>
        <w:t>Review Outcome:</w:t>
        <w:br/>
        <w:t>Result: Improved / Exit</w:t>
      </w:r>
    </w:p>
    <w:p>
      <w:pPr>
        <w:pStyle w:val="Normal"/>
      </w:pPr>
    </w:p>
    <w:p>
      <w:pPr>
        <w:pStyle w:val="Heading1"/>
      </w:pPr>
      <w:r>
        <w:t>ANNEXURE I – EXIT CHECKLIST</w:t>
      </w:r>
    </w:p>
    <w:p>
      <w:pPr>
        <w:pStyle w:val="Normal"/>
      </w:pPr>
      <w:r>
        <w:t>Assets Returned:</w:t>
        <w:br/>
        <w:t>Access Revoked:</w:t>
        <w:br/>
        <w:t>Knowledge Transfer:</w:t>
        <w:br/>
        <w:t>Exit Interview Completed:</w:t>
        <w:br/>
        <w:t>F&amp;F Processed Date:</w:t>
      </w:r>
    </w:p>
    <w:p>
      <w:pPr>
        <w:pStyle w:val="Normal"/>
      </w:pPr>
    </w:p>
    <w:p>
      <w:pPr>
        <w:pStyle w:val="Heading1"/>
      </w:pPr>
      <w:r>
        <w:t>ANNEXURE J – HR DUE DILIGENCE CHECKLIST (INVESTOR)</w:t>
      </w:r>
    </w:p>
    <w:p>
      <w:pPr>
        <w:pStyle w:val="Normal"/>
      </w:pPr>
      <w:r>
        <w:t>• Appointment letters on file</w:t>
        <w:br/>
        <w:t>• Statutory registrations</w:t>
        <w:br/>
        <w:t>• POSH compliance</w:t>
        <w:br/>
        <w:t>• Payroll &amp; PF records</w:t>
        <w:br/>
        <w:t>• Contractor agreements</w:t>
        <w:br/>
        <w:t>• ESOP framework</w:t>
        <w:br/>
        <w:t>• Litigation / disputes</w:t>
        <w:br/>
        <w:t>• Attrition data</w:t>
      </w:r>
    </w:p>
    <w:p>
      <w:r>
        <w:br w:type="page"/>
      </w:r>
    </w:p>
    <w:p>
      <w:pPr>
        <w:pStyle w:val="Heading1"/>
      </w:pPr>
      <w:r>
        <w:t>PART B: BOARD-APPROVED HR POLICY RESOLUTION</w:t>
      </w:r>
    </w:p>
    <w:p>
      <w:pPr>
        <w:pStyle w:val="Title"/>
      </w:pPr>
      <w:r>
        <w:t>BOARD RESOLUTION PACK</w:t>
      </w:r>
    </w:p>
    <w:p>
      <w:pPr>
        <w:pStyle w:val="Heading1"/>
      </w:pPr>
      <w:r>
        <w:t>FOR APPROVAL OF MASTER HR POLICY BIBLE</w:t>
      </w:r>
    </w:p>
    <w:p>
      <w:pPr>
        <w:pStyle w:val="Normal"/>
      </w:pPr>
      <w:r>
        <w:t>Company: ITBREAKCOM PRIVATE LIMITED</w:t>
        <w:br/>
        <w:t>CIN: ____________</w:t>
        <w:br/>
        <w:t>Registered Office: ______________________</w:t>
        <w:br/>
        <w:br/>
        <w:t>This document constitutes the formal Board Resolution Pack for adoption,</w:t>
        <w:br/>
        <w:t>approval, and implementation of the Master HR Policy Bible.</w:t>
        <w:br/>
        <w:br/>
        <w:t>Effective Date: ____________</w:t>
        <w:br/>
        <w:t>Financial Year: 2025–27</w:t>
        <w:br/>
      </w:r>
    </w:p>
    <w:p>
      <w:pPr>
        <w:pStyle w:val="Normal"/>
      </w:pPr>
    </w:p>
    <w:p>
      <w:pPr>
        <w:pStyle w:val="Heading1"/>
      </w:pPr>
      <w:r>
        <w:t>1. BACKGROUND &amp; RATIONALE</w:t>
      </w:r>
    </w:p>
    <w:p>
      <w:pPr>
        <w:pStyle w:val="Normal"/>
      </w:pPr>
      <w:r>
        <w:t>The Company is entering a high-growth phase with objectives to:</w:t>
        <w:br/>
        <w:t>• Achieve ₹10 Crore revenue by January 2027</w:t>
        <w:br/>
        <w:t>• Onboard institutional and external investors</w:t>
        <w:br/>
        <w:t>• Scale operations while remaining fully compliant with Indian labour laws</w:t>
        <w:br/>
        <w:br/>
        <w:t>To support this, a comprehensive Master HR Policy Bible has been drafted</w:t>
        <w:br/>
        <w:t>covering governance, hiring, compensation, performance management,</w:t>
        <w:br/>
        <w:t>statutory compliance, risk mitigation, and exits.</w:t>
      </w:r>
    </w:p>
    <w:p>
      <w:pPr>
        <w:pStyle w:val="Heading1"/>
      </w:pPr>
      <w:r>
        <w:t>2. BOARD CONSIDERATION</w:t>
      </w:r>
    </w:p>
    <w:p>
      <w:pPr>
        <w:pStyle w:val="Normal"/>
      </w:pPr>
      <w:r>
        <w:t>The Board has reviewed the Master HR Policy Bible and</w:t>
        <w:br/>
        <w:t>is satisfied that it aligns with:</w:t>
        <w:br/>
        <w:t>• Applicable laws of India</w:t>
        <w:br/>
        <w:t>• Startup governance best practices</w:t>
        <w:br/>
        <w:t>• Investor due-diligence expectations</w:t>
        <w:br/>
        <w:t>• Long-term organizational scalability</w:t>
      </w:r>
    </w:p>
    <w:p>
      <w:pPr>
        <w:pStyle w:val="Heading1"/>
      </w:pPr>
      <w:r>
        <w:t>3. RESOLUTION</w:t>
      </w:r>
    </w:p>
    <w:p>
      <w:pPr>
        <w:pStyle w:val="Normal"/>
      </w:pPr>
      <w:r>
        <w:t>“RESOLVED THAT pursuant to the provisions of the Companies Act, 2013</w:t>
        <w:br/>
        <w:t>and subject to applicable laws, the Master HR Policy Bible placed before the Board</w:t>
        <w:br/>
        <w:t>be and is hereby approved and adopted with immediate effect.</w:t>
        <w:br/>
        <w:br/>
        <w:t>RESOLVED FURTHER THAT the Managing Director be and is hereby authorized</w:t>
        <w:br/>
        <w:t>to implement, enforce, amend, and communicate the HR policies, procedures,</w:t>
        <w:br/>
        <w:t>annexures, and templates contained therein from time to time.</w:t>
        <w:br/>
        <w:br/>
        <w:t>RESOLVED FURTHER THAT all prior HR policies, circulars, or verbal practices</w:t>
        <w:br/>
        <w:t>stand superseded by this Master HR Policy Bible.”</w:t>
      </w:r>
    </w:p>
    <w:p>
      <w:pPr>
        <w:pStyle w:val="Heading1"/>
      </w:pPr>
      <w:r>
        <w:t>4. AUTHORITY &amp; DELEGATION</w:t>
      </w:r>
    </w:p>
    <w:p>
      <w:pPr>
        <w:pStyle w:val="Normal"/>
      </w:pPr>
      <w:r>
        <w:t>Authority is delegated as follows:</w:t>
        <w:br/>
        <w:t>• Board: Policy approval &amp; material amendments</w:t>
        <w:br/>
        <w:t>• Managing Director: Implementation &amp; enforcement</w:t>
        <w:br/>
        <w:t>• HR Head: Custodian, compliance, audits, updates</w:t>
      </w:r>
    </w:p>
    <w:p>
      <w:pPr>
        <w:pStyle w:val="Heading1"/>
      </w:pPr>
      <w:r>
        <w:t>5. EFFECTIVE DATE &amp; REVIEW</w:t>
      </w:r>
    </w:p>
    <w:p>
      <w:pPr>
        <w:pStyle w:val="Normal"/>
      </w:pPr>
      <w:r>
        <w:t>This resolution shall be effective from the date of approval.</w:t>
        <w:br/>
        <w:t>The policy shall be reviewed annually or earlier if required due to</w:t>
        <w:br/>
        <w:t>regulatory or business changes.</w:t>
      </w:r>
    </w:p>
    <w:p>
      <w:pPr>
        <w:pStyle w:val="Normal"/>
      </w:pPr>
    </w:p>
    <w:p>
      <w:pPr>
        <w:pStyle w:val="Heading1"/>
      </w:pPr>
      <w:r>
        <w:t>6. CERTIFIED TRUE COPY</w:t>
      </w:r>
    </w:p>
    <w:p>
      <w:pPr>
        <w:pStyle w:val="Normal"/>
      </w:pPr>
      <w:r>
        <w:t>Certified to be a true copy of the resolution passed at the</w:t>
        <w:br/>
        <w:t>meeting of the Board of Directors of ITBREAKCOM Private Limited</w:t>
        <w:br/>
        <w:t>held on ____________ at ____________.</w:t>
        <w:br/>
        <w:br/>
        <w:t>For ITBREAKCOM Private Limited</w:t>
        <w:br/>
        <w:br/>
        <w:t>_________________________</w:t>
        <w:br/>
        <w:t>Company Secretary / Director</w:t>
        <w:br/>
        <w:t>Name:</w:t>
        <w:br/>
        <w:t>DIN:</w:t>
        <w:br/>
        <w:t>Date:</w:t>
      </w:r>
    </w:p>
    <w:p>
      <w:r>
        <w:br w:type="page"/>
      </w:r>
    </w:p>
    <w:p>
      <w:pPr>
        <w:pStyle w:val="Heading1"/>
      </w:pPr>
      <w:r>
        <w:t>PART C: ALIGNED APPOINTMENT LETTERS &amp; AGREEMENTS</w:t>
      </w:r>
    </w:p>
    <w:p>
      <w:pPr>
        <w:pStyle w:val="Title"/>
      </w:pPr>
      <w:r>
        <w:t>ALIGNED APPOINTMENT LETTERS PACK</w:t>
      </w:r>
    </w:p>
    <w:p>
      <w:pPr>
        <w:pStyle w:val="Heading1"/>
      </w:pPr>
      <w:r>
        <w:t>ITBREAKCOM PRIVATE LIMITED</w:t>
      </w:r>
    </w:p>
    <w:p>
      <w:pPr>
        <w:pStyle w:val="Normal"/>
      </w:pPr>
      <w:r>
        <w:t>Aligned 100% with Master HR Bible &amp; Board-Approved HR Policies</w:t>
        <w:br/>
      </w:r>
    </w:p>
    <w:p>
      <w:pPr>
        <w:pStyle w:val="Normal"/>
      </w:pPr>
    </w:p>
    <w:p>
      <w:pPr>
        <w:pStyle w:val="Heading1"/>
      </w:pPr>
      <w:r>
        <w:t>A. STANDARD EMPLOYEE APPOINTMENT LETTER (M1–M5)</w:t>
      </w:r>
    </w:p>
    <w:p>
      <w:pPr>
        <w:pStyle w:val="Normal"/>
      </w:pPr>
      <w:r>
        <w:t>This Appointment Letter is issued in accordance with the</w:t>
        <w:br/>
        <w:t>Board-approved Master HR Policy Bible of ITBREAKCOM Private Limited.</w:t>
        <w:br/>
        <w:br/>
        <w:t>Key Alignments:</w:t>
        <w:br/>
        <w:t>• M-Level structure governs role &amp; authority</w:t>
        <w:br/>
        <w:t>• Compensation as Fixed + Variable CTC</w:t>
        <w:br/>
        <w:t>• KPI-linked performance &amp; incentives</w:t>
        <w:br/>
        <w:t>• Statutory compliance as per applicable laws</w:t>
        <w:br/>
        <w:t>• No post-employment non-compete beyond law</w:t>
        <w:br/>
        <w:t>• Enforceable confidentiality &amp; non-solicitation clauses</w:t>
        <w:br/>
        <w:br/>
        <w:t>[Full Appointment Letter Body – Ready to Use]</w:t>
        <w:br/>
        <w:br/>
        <w:t>Designation:</w:t>
        <w:br/>
        <w:t>M-Level:</w:t>
        <w:br/>
        <w:t>CTC Structure:</w:t>
        <w:br/>
        <w:t>Probation:</w:t>
        <w:br/>
        <w:t>Notice Period:</w:t>
        <w:br/>
        <w:t>Confidentiality &amp; IP:</w:t>
        <w:br/>
        <w:t>Termination:</w:t>
        <w:br/>
        <w:t>Governing Law: India</w:t>
        <w:br/>
        <w:br/>
        <w:t>(Employee &amp; Company signature blocks)</w:t>
        <w:br/>
      </w:r>
    </w:p>
    <w:p>
      <w:pPr>
        <w:pStyle w:val="Normal"/>
      </w:pPr>
    </w:p>
    <w:p>
      <w:pPr>
        <w:pStyle w:val="Heading1"/>
      </w:pPr>
      <w:r>
        <w:t>B. TRAINEE APPOINTMENT LETTER (M0)</w:t>
      </w:r>
    </w:p>
    <w:p>
      <w:pPr>
        <w:pStyle w:val="Normal"/>
      </w:pPr>
      <w:r>
        <w:t>This is a training engagement and not employment.</w:t>
        <w:br/>
        <w:br/>
        <w:t>Aligned Features:</w:t>
        <w:br/>
        <w:t>• Stipend-based learning engagement</w:t>
        <w:br/>
        <w:t>• No PF, ESIC, Bonus, or Gratuity</w:t>
        <w:br/>
        <w:t>• Clear assessment &amp; absorption criteria</w:t>
        <w:br/>
        <w:t>• IP &amp; confidentiality obligations</w:t>
        <w:br/>
        <w:t>• 7-day notice termination</w:t>
        <w:br/>
        <w:br/>
        <w:t>[Full Trainee Letter Body – Ready to Use]</w:t>
        <w:br/>
        <w:br/>
        <w:t>Training Duration:</w:t>
        <w:br/>
        <w:t>Monthly Stipend:</w:t>
        <w:br/>
        <w:t>Assessment Milestones:</w:t>
        <w:br/>
        <w:t>Termination Clause:</w:t>
        <w:br/>
        <w:br/>
        <w:t>(Signature blocks)</w:t>
        <w:br/>
      </w:r>
    </w:p>
    <w:p>
      <w:pPr>
        <w:pStyle w:val="Normal"/>
      </w:pPr>
    </w:p>
    <w:p>
      <w:pPr>
        <w:pStyle w:val="Heading1"/>
      </w:pPr>
      <w:r>
        <w:t>C. CONSULTANT / CONTRACTOR AGREEMENT (C1)</w:t>
      </w:r>
    </w:p>
    <w:p>
      <w:pPr>
        <w:pStyle w:val="Normal"/>
      </w:pPr>
      <w:r>
        <w:t>Independent contractor engagement aligned with HR Bible.</w:t>
        <w:br/>
        <w:br/>
        <w:t>Aligned Features:</w:t>
        <w:br/>
        <w:t>• Principal-to-principal relationship</w:t>
        <w:br/>
        <w:t>• TDS/GST compliance</w:t>
        <w:br/>
        <w:t>• No employment benefits</w:t>
        <w:br/>
        <w:t>• IP ownership &amp; confidentiality</w:t>
        <w:br/>
        <w:t>• Non-solicitation enforceable under Indian law</w:t>
        <w:br/>
        <w:br/>
        <w:t>[Full Consultant Agreement Body – Ready to Use]</w:t>
        <w:br/>
        <w:br/>
        <w:t>Scope:</w:t>
        <w:br/>
        <w:t>Fees:</w:t>
        <w:br/>
        <w:t>Term:</w:t>
        <w:br/>
        <w:t>Termination:</w:t>
        <w:br/>
        <w:t>IP Assignment:</w:t>
        <w:br/>
        <w:br/>
        <w:t>(Signature blocks)</w:t>
        <w:br/>
      </w:r>
    </w:p>
    <w:p>
      <w:pPr>
        <w:pStyle w:val="Normal"/>
      </w:pPr>
    </w:p>
    <w:p>
      <w:pPr>
        <w:pStyle w:val="Heading1"/>
      </w:pPr>
      <w:r>
        <w:t>D. DEVIATION MATRIX (OLD vs NEW)</w:t>
      </w:r>
    </w:p>
    <w:p>
      <w:pPr>
        <w:pStyle w:val="Normal"/>
      </w:pPr>
      <w:r>
        <w:t>Key Corrections Made:</w:t>
        <w:br/>
        <w:t>• Removed unenforceable non-compete clauses</w:t>
        <w:br/>
        <w:t>• Standardized notice periods by M-Level</w:t>
        <w:br/>
        <w:t>• Aligned probation &amp; PIP language</w:t>
        <w:br/>
        <w:t>• Corrected statutory references</w:t>
        <w:br/>
        <w:t>• Removed document retention risks</w:t>
        <w:br/>
        <w:t>• Unified dispute resolution clauses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