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With a fixed number of experimental wells, a laboratory may need either one best recipe or a set of settings expected to remain above a quality threshold. Those goals differ, so method rankings can change with the decision. We compared SPADE (Synthetic Posterior Abstaining Design for Excursions)—an abstaining conservative-region procedure—with noisy Bayesian optimization (qLogNEI) and classical response-surface DoE on synthetic test problems under a shared 48-well budget. On this benchmark, choose SPADE when the deliverable is a trusted operating region; choose DoE when only one recipe is needed. Against qLogNEI at five matched rounds, SPADE returned a usable region far more often (116 of 320 comparisons versus 6 of 320). Abstentions were scored as zero certified volume, so mean certified volume was higher for SPADE (0.000864 versus 0.0000094 on a 2,000-point scoring grid; difference +0.000855; 95% CI +0.000691 to +0.001028; p &lt; 0.000125). Certified volume is the fraction of that grid inside the returned region (one grid point = 0.0005). All six qLogNEI answers were exactly one grid point; SPADE’s conditional mean among answers was 0.00238. Against DoE, SPADE’s answered regions always matched truth (66/66), though counting every campaign screened DoE returned more correct regions (85/160 versus 66/160) because it answers more often and sometimes wrongly. Screened DoE won on single-recipe quality (SPADE−DoE regret +0.1026). Five-round SPADE showed no detectable regret difference from ten-round qLogNEI (−0.0005), without proving equivalence. Results are for synthetic surfaces and moderate noise only—not wet-lab proof.</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several linked comparisons. The primary regional question is whether matched five-round SPADE returns greater certified volume than qLogNEI. A second question is whether five-round SPADE differs detectably from ten-round qLogNEI on point regret. A third compares regional containment and point regret with one screened and one unscreened response-surface DoE pipeline. We also ask whether three-round SPADE improves point regret relative to one-shot Latin hypercube sampling, and we examine how answer rates vary with family and prevalence. Supporting retrospective analyses diagnose real-data posterior collapse and assay-specific calibration. A failed targeting variant,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one-process comparison program (DC) and leave-one-family-out matched-round program (LC) used five synthetic response families—Ackley, Hartmann6, biphasic Hill, Levy, and Rosenbrock—32 deterministic seeds per family, six normalized factors, 48 measured wells, and relative observation noise 0.25. The prevalence and margin-to-noise program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and the DoE comparison. LC supplied the leave-one-family-out matched-round volume comparison. TAU supplied the prevalence and margin-to-noise analyses. A separate targeting-test program (TT) tested the proposed targeting mechanism. Retrospective in-house and published Hall–Ogle data supplied supporting uncertainty diagnostics, not prospective validation.</w:t>
      </w:r>
    </w:p>
    <w:p>
      <w:pPr>
        <w:widowControl/>
      </w:pPr>
      <w:r>
        <w:rPr>
          <w:rFonts w:ascii="Times New Roman" w:hAnsi="Times New Roman" w:eastAsia="Times New Roman" w:cs="Times New Roman"/>
          <w:color w:val="000000"/>
          <w:sz w:val="24"/>
        </w:rPr>
        <w:t>All synthetic arms used 48 wells. We write Rn for an n-round schedule (for example, R5 means five sequential rounds).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327920"/>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32792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w:t>
      </w:r>
      <w:r>
        <w:rPr>
          <w:rFonts w:ascii="Times New Roman" w:hAnsi="Times New Roman" w:eastAsia="Times New Roman" w:cs="Times New Roman"/>
          <w:color w:val="000000"/>
          <w:sz w:val="20"/>
        </w:rPr>
        <w:t xml:space="preserve"> (A) Every arm uses the same 48-well campaign; the method chooses round structure and the terminal return. (B) The campaign is scored as a point-recipe decision (simple regret) and/or an operating-region decision (certified volume, containment, or abstention). (C) Comparators: SPADE (region-first), qLogNEI (noisy Bayesian optimization), and DoE response-surface pipelines. This schematic defines the benchmark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We score two end-of-run decisions: a point recipe (simple regret) and an operating region (certified volume, truth containment when the method answers, and abstention).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The matched-round volume comparison selected the smallest posterior inflation c that passed the registered rule on four families and evaluated volume on the held-out fifth family. It pooled prevalence 0.30 and 0.10, yielding five families × 32 seeds × two prevalences = 320 dependent family-seed-prevalence cells. The DoE regional comparison used a weaker procedure: SPADE selected c = 1 within the DC cells themselves. Neither DoE arm passed at any tested inflation, so its reported counts are fallback diagnostics at baseline c = 1. That DoE comparison is within-sample and not transportable; it is not the held-out-family calibration used for the matched-round volume comparison.</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family–prevalence Spearman coefficient relating answer rate to margin-to-noise is descriptive over 25 nested, nonexchangeable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claim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lists the settings for this matched-round volume comparison. After the same number of feedback rounds and the same 48 wells, does SPADE achieve higher certified volume than qLogNEI under the same regional rules?</w:t>
      </w:r>
    </w:p>
    <w:p>
      <w:pPr>
        <w:widowControl/>
      </w:pPr>
      <w:r>
        <w:rPr>
          <w:rFonts w:ascii="Times New Roman" w:hAnsi="Times New Roman" w:eastAsia="Times New Roman" w:cs="Times New Roman"/>
          <w:color w:val="000000"/>
          <w:sz w:val="24"/>
        </w:rPr>
        <w:t>SPADE returns a non-empty region more often, which raises mean certified volume when abstentions count as zero. Under leave-one-family-out calibration, SPADE returned a non-empty region in 116 of 320 paired contrasts (36%), while qLogNEI did so in only 6 of 320 (2%). We score “no region” as volume zero. Average certified volume across all contrasts was therefore 0.000864 for SPADE versus 0.0000094 for qLogNEI (about 1.73 versus 0.019 grid points of certified volume on the 2,000-point scoring grid). The average difference was +0.000855. A 95% confidence interval for that average ran from +0.000691 to +0.001028 (entirely above zero); a bootstrap check gave p &lt; 0.000125 (n = 320 paired contrasts).</w:t>
      </w:r>
    </w:p>
    <w:p>
      <w:pPr>
        <w:widowControl/>
      </w:pPr>
      <w:r>
        <w:rPr>
          <w:rFonts w:ascii="Times New Roman" w:hAnsi="Times New Roman" w:eastAsia="Times New Roman" w:cs="Times New Roman"/>
          <w:color w:val="000000"/>
          <w:sz w:val="24"/>
        </w:rPr>
        <w:t>The headline is therefore mostly an answer-rate result: qLogNEI almost never returns non-zero certified volume under these rules. When a method did answer, SPADE’s mean certified volume was still higher (0.00238 versus 0.00050). All six qLogNEI answers were exactly one scoring-grid point (volume 0.0005); SPADE’s answered regions averaged about 4.8 grid points. We did not pre-register a smallest effect of interest for certified volume, so we treat this as directional support for the region decision—not a claim that SPADE is always best. A similar three-round volume claim was withdrawn after more seeds were run.</w:t>
      </w:r>
    </w:p>
    <w:p>
      <w:pPr>
        <w:widowControl/>
      </w:pPr>
      <w:r>
        <w:rPr>
          <w:rFonts w:ascii="Times New Roman" w:hAnsi="Times New Roman" w:eastAsia="Times New Roman" w:cs="Times New Roman"/>
          <w:color w:val="000000"/>
          <w:sz w:val="24"/>
        </w:rPr>
        <w:t>Table 1a reports leave-one-family-out answer counts by family. SPADE answered more often than qLogNEI in four of five families; both arms returned zero answers on Rosenbrock under the selected inflations. These family-level counts are descriptive summaries of the same LOFO comparison and are not a separate confirmatory test.</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regional advantage versus qLogNEI and DoE.</w:t>
      </w:r>
      <w:r>
        <w:rPr>
          <w:rFonts w:ascii="Times New Roman" w:hAnsi="Times New Roman" w:eastAsia="Times New Roman" w:cs="Times New Roman"/>
          <w:color w:val="000000"/>
          <w:sz w:val="20"/>
        </w:rPr>
        <w:t xml:space="preserve"> (A) Mean certified-volume difference (SPADE minus qLogNEI) at matched five rounds (+0.000855; 95% CI +0.000691 to +0.001028; p &lt; 0.000125; n = 320), counting “no region” as zero volume. SPADE returned a region in 116/320 comparisons; qLogNEI in 6/320. (B) When each method did return a region versus DoE at prevalence 0.30: SPADE 66/66 correct; screened DoE 85/122; unscreened DoE 77/134. Counting every campaign (including no-answers): 66/160, 85/160, and 77/160 correct.</w:t>
      </w:r>
    </w:p>
    <w:p>
      <w:pPr>
        <w:keepNext/>
        <w:keepLines/>
        <w:widowControl/>
      </w:pPr>
      <w:r>
        <w:rPr>
          <w:rFonts w:ascii="Times New Roman" w:hAnsi="Times New Roman" w:eastAsia="Times New Roman" w:cs="Times New Roman"/>
          <w:b/>
          <w:color w:val="000000"/>
          <w:sz w:val="24"/>
        </w:rPr>
        <w:t>Table 1. Matched-round certified-volume comparison (SPADE vs qLogNEI).</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widowControl/>
      </w:pPr>
      <w:r>
        <w:rPr>
          <w:rFonts w:ascii="Times New Roman" w:hAnsi="Times New Roman" w:eastAsia="Times New Roman" w:cs="Times New Roman"/>
          <w:b/>
          <w:color w:val="000000"/>
          <w:sz w:val="24"/>
        </w:rPr>
        <w:t>Table 1a. Leave-one-family-out answer counts by family (SPADE vs qLogNEI, R5).</w:t>
      </w:r>
      <w:r>
        <w:rPr>
          <w:rFonts w:ascii="Times New Roman" w:hAnsi="Times New Roman" w:eastAsia="Times New Roman" w:cs="Times New Roman"/>
          <w:color w:val="000000"/>
          <w:sz w:val="24"/>
        </w:rPr>
        <w:t xml:space="preserve"> Each cell pools prevalences 0.30 and 0.10 (64 family–seed–prevalence cells). Inflation c is selected on the other four families; volume scoring uses the held-out family’s selected c (or baseline c=1 with forced zero volume when no c passes). Totals match the 116/320 versus 6/320 headline.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3000"/>
        <w:gridCol w:w="1050"/>
        <w:gridCol w:w="1050"/>
        <w:gridCol w:w="2100"/>
        <w:gridCol w:w="2160"/>
      </w:tblGrid>
      <w:tr>
        <w:trPr>
          <w:cantSplit/>
          <w:tblHeader w:val="true"/>
        </w:trPr>
        <w:tc>
          <w:tcPr>
            <w:tcW w:type="dxa" w:w="30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answers</w:t>
            </w:r>
          </w:p>
        </w:tc>
        <w:tc>
          <w:tcPr>
            <w:tcW w:type="dxa" w:w="105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answers</w:t>
            </w:r>
          </w:p>
        </w:tc>
        <w:tc>
          <w:tcPr>
            <w:tcW w:type="dxa" w:w="21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SPADE selected c</w:t>
            </w:r>
          </w:p>
        </w:tc>
        <w:tc>
          <w:tcPr>
            <w:tcW w:type="dxa" w:w="216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qLogNEI selected c</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52/64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3.0</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58/64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none</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0/64</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1.0</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1.5</w:t>
            </w:r>
          </w:p>
        </w:tc>
      </w:tr>
      <w:tr>
        <w:trPr>
          <w:cantSplit/>
        </w:trPr>
        <w:tc>
          <w:tcPr>
            <w:tcW w:type="dxa" w:w="30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Total</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116/320</w:t>
            </w:r>
          </w:p>
        </w:tc>
        <w:tc>
          <w:tcPr>
            <w:tcW w:type="dxa" w:w="105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6/320</w:t>
            </w:r>
          </w:p>
        </w:tc>
        <w:tc>
          <w:tcPr>
            <w:tcW w:type="dxa" w:w="21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c>
          <w:tcPr>
            <w:tcW w:type="dxa" w:w="216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This comparison concerns recipe quality rather than regions. Both methods used 48 wells; SPADE used five rounds and qLogNEI used ten. Average simple regret differed by −0.0005 (SPADE minus qLogNEI), with a 95% confidence interval from −0.0221 to +0.0207 (p = 0.96; n = 160 family–seed pairs). There is no clear winner on the single best recipe, and the interval is wide enough that equivalence within the pre-set ±0.02 margin also cannot be claimed. Calendar time and dollar cost were not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w:t>
      </w:r>
      <w:r>
        <w:rPr>
          <w:rFonts w:ascii="Times New Roman" w:hAnsi="Times New Roman" w:eastAsia="Times New Roman" w:cs="Times New Roman"/>
          <w:color w:val="000000"/>
          <w:sz w:val="20"/>
        </w:rPr>
        <w:t xml:space="preserve"> (A) SPADE at five rounds versus qLogNEI at ten rounds on simple regret: no clear difference (−0.0005; 95% CI −0.0221 to +0.0207; n = 160)—not claimed as equivalence. (B) SPADE at five rounds versus screened DoE at three rounds: DoE finds the better single recipe (+0.1026; 95% CI +0.0486 to +0.1578).</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Against classical DoE the trade-off is clear (Table 2). On finding one best recipe, screened DoE won: SPADE’s regret was worse by +0.1026 (95% CI +0.0486 to +0.1578, p = 0.0003; n = 160). DoE used three rounds; SPADE used five.</w:t>
      </w:r>
    </w:p>
    <w:p>
      <w:pPr>
        <w:widowControl/>
      </w:pPr>
      <w:r>
        <w:rPr>
          <w:rFonts w:ascii="Times New Roman" w:hAnsi="Times New Roman" w:eastAsia="Times New Roman" w:cs="Times New Roman"/>
          <w:color w:val="000000"/>
          <w:sz w:val="24"/>
        </w:rPr>
        <w:t>On trustworthy regions, the ranking flips. At the main region setting (30% of the space truly “good,” moderate noise), SPADE returned a region in 66 of 160 campaigns and every one of those 66 matched truth (100%; statistical lower bound 0.9556). SPADE used a within-sample inflation choice of c = 1.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Regional answers and point trade-off versus DoE.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Extra SPADE checks versus space-filling sampling and on Hill.</w:t>
      </w:r>
      <w:r>
        <w:rPr>
          <w:rFonts w:ascii="Times New Roman" w:hAnsi="Times New Roman" w:eastAsia="Times New Roman" w:cs="Times New Roman"/>
          <w:color w:val="000000"/>
          <w:sz w:val="20"/>
        </w:rPr>
        <w:t xml:space="preserve"> (A) SPADE beats one-shot Latin hypercube sampling on recipe quality at three rounds (advantage +0.0783). Sample size is n = 80 (four families × 20 seeds), not n = 160, by protocol. (B) On a biology-shaped Hill test at prevalence 0.70, SPADE answered more often than qLogNEI (40/64 versus 27/64); every answered region for both methods was correct.</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retrospective values are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confirmation store</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no protocol, no post-hoc power calculation was authorized, and the held-out confirmation records remained frozen and unopened. No confirmation evidence was released.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Absolute certified volumes remain small on this benchmark: when SPADE answered, the mean returned region covered about 0.24% of the scoring grid (roughly five of 2,000 points). At 48 wells and relative noise 0.25, that scarcity is consistent with the margin-to-noise association and with the real-noise ceiling at which no tested arm certified: SPADE’s regional advantage is that it locates a non-empty conservative set under these rules at all, not that it returns a large fraction of the design space.</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DoE-comparison calibration is within-sample; only the matched-round volume comparison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the joint-protocol development outcome that selected no protocol, and the unopened confirmation store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On this synthetic 48-well benchmark, SPADE is the better tool when the job is a trusted operating region with honest abstention: it returns a region far more often than qLogNEI under the same conservative rules, and when it answers against DoE it stays inside truth. It is not the better tool when the job is only one carry-forward recipe—DoE wins that comparison. Five-round SPADE looks similar to longer qLogNEI on recipe quality without proving equivalence. These computer results do not replace wet-lab validation or regulatory qualification.</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SPADE checks versus space-filling sampling and on Hill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part of the current point-regret comparison.</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part of the current matched-round volume comparison.</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matched-round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