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arm uses the same 48-well campaign; the method chooses round structure and the terminal return. (B) The campaign is scored as a point-recipe decision (simple regret) and/or an operating-region decision (certified volume, containment, or abstention). (C) Comparators in this study: SPADE (region-first), qLogNEI (noisy Bayesian optimization), and DoE response-surface pipelines.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