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An experimental campaign may need one optimized recipe or a conservative operating region; these are different decisions. We evaluated SPADE (Synthetic Posterior Abstaining Design for Excursions), an assay-oriented integration of established Gaussian-process level-set and conservative-set methods, against noisy Bayesian optimization (qLogNEI) and a response-surface design of experiments (DoE) on synthetic families under 48-well budgets. At matched five rounds, SPADE returned greater certified volume than qLogNEI (mean volumes 0.000864 versus 0.000009 on the 2,000-point scoring grid, about a 92-fold ratio; difference +0.000855, 95% CI [+0.000691, +0.001028], p &lt; 0.000125, n = 320 dependent cells). One grid point equals 0.0005 of volume, so the mean difference is about 1.7 grid points; no smallest effect of interest was registered for volume, and we interpret the contrast as directional support for the tested region decision rather than universal superiority. Five-round SPADE showed no detectable point-regret difference from ten-round qLogNEI (−0.0005, 95% CI [−0.0221, +0.0207], p = 0.96, n = 160), without claiming equivalence. Screened three-round DoE found the better point recipe (+0.1026 SPADE-minus-DoE regret). For regions at prevalence 0.30, SPADE answered 66/160 campaigns and contained truth in all 66 answers, whereas screened DoE answered 122/160 with 85 contained and unscreened DoE answered 134/160 with 77 contained. Per eligible campaign, contained counts were 66/160 (SPADE) versus 85/160 and 77/160 (DoE arms): DoE returns more correct regions only because it answers more often, including wrong certificates. Under an asymmetric loss that treats a false certified region as worse than abstention, SPADE’s 66/66 conditional record is the relevant regional score. Results are limited to the tested synthetic benchmark, moderate noise, finite grids, and calibration rules; they do not establish regulatory qualification or prospective wet-lab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 (A) Every arm uses the same 48-well campaign; the method chooses round structure and the terminal return. (B) The campaign is scored as a point-recipe decision (simple regret) and/or an operating-region decision (certified volume, containment, or abstention). (C) Comparators in this study: SPADE (region-first), qLogNEI (noisy Bayesian optimization), and DoE response-surface pipelines. This schematic defines the benchmark and contains no performance result.</w:t>
      </w:r>
      <w:r>
        <w:rPr>
          <w:rFonts w:ascii="Times New Roman" w:hAnsi="Times New Roman" w:eastAsia="Times New Roman" w:cs="Times New Roman"/>
          <w:color w:val="000000"/>
          <w:sz w:val="20"/>
        </w:rPr>
        <w:t xml:space="preserve"> (A) Choose SPADE when the campaign must return a trusted operating region with honest abstention. (B) Choose a point optimizer (DoE or Bayesian optimization) when only one carry-forward recipe is required. (C) Under very high assay-like noise, abstain and replicate rather than claiming a region. This schematic defines the decision framing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five-round SPADE returned greater certified volume than five-round qLogNEI. Mean certified volumes on the 2,000-point scoring grid were 0.000864 for SPADE and 0.000009 for qLogNEI (about a 92-fold ratio). The SPADE-minus-qLogNEI difference was +0.000855 (95% CI [+0.000691, +0.001028], p &lt; 0.000125, n = 320 dependent cells). Because certified volume is a fraction of that grid, one grid point equals 0.0005 of volume; the mean difference is about 1.7 grid points. No smallest effect of interest was registered for volume, so we treat this as directional support for the tested operating-region decision rather than a universal method ranking. The analogous positive three-round claim was withdrawn after extension to 32 seeds.</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w:t>
      </w:r>
      <w:r>
        <w:rPr>
          <w:rFonts w:ascii="Times New Roman" w:hAnsi="Times New Roman" w:eastAsia="Times New Roman" w:cs="Times New Roman"/>
          <w:color w:val="000000"/>
          <w:sz w:val="20"/>
        </w:rPr>
        <w:t xml:space="preserve">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a development outcome that selected no protocol, no post-hoc power calculation was authorized, and the held-out confirmation store remained a frozen, unopened confirmation store.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a development outcome that selected no protocol,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