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240" w:line="240" w:lineRule="auto"/>
        <w:jc w:val="center"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>SPADE improves operating-region decisions under fixed experimental budgets: a synthetic comparison with Bayesian optimization and response-surface design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Short title: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Fixed-budget operating-region decisions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Kwan¹*, Joseph Yung²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Affiliations: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¹ Department of Chemical Engineering,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² Department of Industrial Engineering and Operations Research, Columbia University, New York, New York, United States of America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Corresponding author: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Kwan¹ (11281128alana@gmail.com)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Author emails: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Alana Wai Han Kwan, 11281128alana@gmail.com; Joseph Yung, josephyung33@gmail.com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Abstract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 experimental campaign may need one optimized recipe or a conservative operating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region; these are different decisions. We evaluated SPADE, an assay-oriented integration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established Gaussian-process level-set and conservative-set methods, against noisy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Bayesian optimization (qLogNEI) and a response-surface design of experiments (DoE)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synthetic families under 48-well budgets. Primary matched-round evidence came first: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five rounds, SPADE returned greater certified volume than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dependent family-seed-prevalence cells under leave-one-family-out calibration). Thus SPADE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better for the tested operating-region decision, not universally better. In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one-process point comparison, five-round SPADE showed no detectable regret difference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from ten-round qLogNEI (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95% CI </w:t>
      </w: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>;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), but the interval did not establish equivalence. The adverse DoE result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substantial: screened three-round DoE found the better point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SPADE-minus-DoE regret, 95% CI </w:t>
      </w: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>), while five-round SPADE answered 66/160 regional decisions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contained truth in 66/66, compared with 85/122 and 77/134 contained answers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screened and unscreened DoE. Flat-cell intervals are conditional and dependence may make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them too narrow. Results are limited to the tested synthetic benchmark, moderate noise,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finite grids, and calibration rules; they do not establish regulatory qualification 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Introduction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Cell-culture media, extracellular-matrix composition, and bioprocess parameters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chosen jointly, so even a modest factor grid can exceed a practical assay budget.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Classical response-surface methodology provides screening, sequential movement,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local modelling [1–3]. Bayesian optimization (BO) instead fits a probabilistic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surrogate and allocates observations to improve an objective [4–6]. Both approaches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in biological and bioprocess development [7–12].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decision made after sampling matters as much as the sampling rule. One laboratory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 single carry-forward recipe, appropriately scored by point regret. Another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need an operating region: a set of compositions expected to exceed a specification,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 an explicit option to abstain when the evidence is insufficient. A method can find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strong point while learning little about the surrounding region, or map a region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without finding the global optimum. Point regret, map error, answer rate,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containment, and certified volume are therefore distinct estimands.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 estimation is not new. Gaussian-process (GP) level-set classification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boundary-focused batch sampling are established [13], as are conservative excursion-set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estimators based on posterior inclusion [14] and methods such as TruVaR that connect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optimization with level-set learning [15]. qLogNEI is a modern noisy expected-improvement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 [16]. Proper scoring separates probabilistic forecasts from downstream decisions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[17], while BoTorch supplies established computational components [18]. Recent synthetic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batch-BO work further shows that noise and geometry can alter rankings [19], and good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simulation-study practice requires explicit estimands and data-generating scope [20].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is an assay-oriented architecture built from these established ingredients,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new excursion-set theory. It combines a space-filling opening, adaptive high-response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sampling, a common posterior conservative-set estimator that can also score 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observations, and abstention. Its acquisition should not be described as successfully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threshold-targeted: a registered target-aligned variant failed its adoption gate.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scientific question is instead whether this architecture improves the tested regional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decision while honestly retaining point-optimization trade-offs.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report six linked findings. C3 asks whether matched five-round SPADE returns greater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certified volume than qLogNEI. C1 asks whether five-round SPADE differs detectably from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ten-round qLogNEI on point regret. C2 compares regional containment and point regret with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screened and one unscreened response-surface DoE pipeline. C5 and C6 examine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family/prevalence scope. S2 and S3 diagnose real-data posterior collapse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assay-specific calibration. Finally, S1, a real-noise ceiling, and a later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development gate define where positive interpretation must stop.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Materials and methods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Study design and evidence roles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confirmatory DC and LC programs used five synthetic response families—Ackley,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Hartmann6, biphasic Hill, Levy, and Rosenbrock—32 deterministic seeds per family,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six normalized factors, 48 measured wells, and relative observation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TAU used 64 seeds per family. Hill varied by registered instance; other evaluators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fixed landscapes with design and noise varying by seed. Known latent truth was used only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synthetic scoring. These landscapes are structural test functions, not fits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endothelial-cell measurements.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latent normalized response </w:t>
      </w:r>
      <m:oMath>
        <m:box>
          <m:e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</w:t>
      </w:r>
      <m:oMath>
        <m:box>
          <m:e>
            <m:r>
              <m:rPr>
                <m:sty m:val="i"/>
              </m:rP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</m:t>
            </m:r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rPr>
                    <m:sty m:val="p"/>
                  </m:rPr>
                  <m:t>6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the threshold </w:t>
      </w:r>
      <m:oMath>
        <m:box>
          <m:e>
            <m:r>
              <m:rPr>
                <m:sty m:val="i"/>
              </m:rPr>
              <m:t>τ</m:t>
            </m:r>
          </m:e>
        </m:box>
      </m:oMath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the instance-specific truth quantile that produced the registered target prevalence</w:t>
      </w:r>
    </w:p>
    <w:p>
      <w:pPr>
        <w:widowControl/>
      </w:pPr>
      <m:oMath>
        <m:box>
          <m:e>
            <m:r>
              <m:rPr>
                <m:sty m:val="i"/>
              </m:rPr>
              <m:t>p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The acceptable region was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Thresholds were computed on a 20,000-point Sobol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truth grid with seed 0. A 2,000-point Sobol certificate-candidate and scoring subset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the same seed was used for posterior-region construction and truth-containment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scoring. Each certificate used 4,096 joint posterior draws and 64 nested Vorob'ev levels.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DC supplied the one-process point comparison (C1) and DoE comparison (C2). LC supplied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leave-one-family-out matched-round comparison (C3). TAU supplied the prevalence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margin-to-noise analyses (C5/C6). TT tested the proposed targeting mechanism (S1).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 in-house and published Hall–Ogle data supplied supporting uncertainty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diagnostics (S2/S3), not prospective validation.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All synthetic arms used 48 wells. SPADE R3 used </w:t>
      </w:r>
      <w:r>
        <w:rPr>
          <w:rFonts w:ascii="Courier New" w:hAnsi="Courier New" w:eastAsia="Courier New" w:cs="Courier New"/>
          <w:color w:val="000000"/>
          <w:sz w:val="22"/>
        </w:rPr>
        <w:t>32+8+8</w:t>
      </w:r>
      <w:r>
        <w:rPr>
          <w:rFonts w:ascii="Times New Roman" w:hAnsi="Times New Roman" w:eastAsia="Times New Roman" w:cs="Times New Roman"/>
          <w:color w:val="000000"/>
          <w:sz w:val="24"/>
        </w:rPr>
        <w:t>; SPADE R5 used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16+8+8+8+8</w:t>
      </w:r>
      <w:r>
        <w:rPr>
          <w:rFonts w:ascii="Times New Roman" w:hAnsi="Times New Roman" w:eastAsia="Times New Roman" w:cs="Times New Roman"/>
          <w:color w:val="000000"/>
          <w:sz w:val="24"/>
        </w:rPr>
        <w:t>. Matched qLogNEI R3 and R5 used the same respective allocations.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R10 used a 14-point Sobol opening, eight batches of four, and a final batch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of two (</w:t>
      </w:r>
      <w:r>
        <w:rPr>
          <w:rFonts w:ascii="Courier New" w:hAnsi="Courier New" w:eastAsia="Courier New" w:cs="Courier New"/>
          <w:color w:val="000000"/>
          <w:sz w:val="22"/>
        </w:rPr>
        <w:t>14+4+4+4+4+4+4+4+4+2</w:t>
      </w:r>
      <w:r>
        <w:rPr>
          <w:rFonts w:ascii="Times New Roman" w:hAnsi="Times New Roman" w:eastAsia="Times New Roman" w:cs="Times New Roman"/>
          <w:color w:val="000000"/>
          <w:sz w:val="24"/>
        </w:rPr>
        <w:t>). The screened DoE R3 workflow used a 20-run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six-factor screen, a 27-run four-factor face-centred response-surface design, and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confirmation well (</w:t>
      </w:r>
      <w:r>
        <w:rPr>
          <w:rFonts w:ascii="Courier New" w:hAnsi="Courier New" w:eastAsia="Courier New" w:cs="Courier New"/>
          <w:color w:val="000000"/>
          <w:sz w:val="22"/>
        </w:rPr>
        <w:t>20+27+1</w:t>
      </w:r>
      <w:r>
        <w:rPr>
          <w:rFonts w:ascii="Times New Roman" w:hAnsi="Times New Roman" w:eastAsia="Times New Roman" w:cs="Times New Roman"/>
          <w:color w:val="000000"/>
          <w:sz w:val="24"/>
        </w:rPr>
        <w:t>). The registered unscreened comparator omitted screening,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used one 47-run full-dimensional face-centred central-composite design, and measured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confirmation (</w:t>
      </w:r>
      <w:r>
        <w:rPr>
          <w:rFonts w:ascii="Courier New" w:hAnsi="Courier New" w:eastAsia="Courier New" w:cs="Courier New"/>
          <w:color w:val="000000"/>
          <w:sz w:val="22"/>
        </w:rPr>
        <w:t>47+1</w:t>
      </w:r>
      <w:r>
        <w:rPr>
          <w:rFonts w:ascii="Times New Roman" w:hAnsi="Times New Roman" w:eastAsia="Times New Roman" w:cs="Times New Roman"/>
          <w:color w:val="000000"/>
          <w:sz w:val="24"/>
        </w:rPr>
        <w:t>); it retained the protocol's DoE R3 comparator label even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though its executed measurements comprise design and confirmation stages. Equal wells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therefore did not mean equal sequential rounds.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b/>
          <w:color w:val="000000"/>
          <w:sz w:val="20"/>
        </w:rPr>
        <w:t>Fig 1. Benchmark decisions and estimands.</w:t>
      </w:r>
      <w:r>
        <w:rPr>
          <w:rFonts w:ascii="Times New Roman" w:hAnsi="Times New Roman" w:eastAsia="Times New Roman" w:cs="Times New Roman"/>
          <w:color w:val="000000"/>
          <w:sz w:val="20"/>
        </w:rPr>
        <w:t xml:space="preserve"> (A) Each method operates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one 48-well campaign. (B) The same sampled campaign supports a point decision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 a region decision, including abstention. (C) The estimand ledger distinguishes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reported object, observability, score, extra wells, and rounds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deliverable. This schematic defines the benchmark and contains no performance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architecture and comparators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Observations followed</w:t>
      </w:r>
    </w:p>
    <w:p>
      <w:pPr>
        <w:widowControl/>
      </w:pPr>
      <m:oMath>
        <m:box>
          <m:e>
            <m:r>
              <m:rPr>
                <m:sty m:val="i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ϵ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i"/>
              </m:rPr>
              <m:t>η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with</w:t>
      </w:r>
    </w:p>
    <w:p>
      <w:pPr>
        <w:widowControl/>
      </w:pPr>
      <m:oMath>
        <m:box>
          <m:e>
            <m:r>
              <m:rPr>
                <m:sty m:val="i"/>
              </m:rPr>
              <m:t>ϵ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and</w:t>
      </w:r>
    </w:p>
    <w:p>
      <w:pPr>
        <w:widowControl/>
      </w:pPr>
      <m:oMath>
        <m:box>
          <m:e>
            <m:r>
              <m:rPr>
                <m:sty m:val="i"/>
              </m:rPr>
              <m:t>η</m:t>
            </m:r>
            <m:r>
              <m:rPr>
                <m:sty m:val="i"/>
              </m:rPr>
              <m:t>~</m:t>
            </m:r>
            <m:r>
              <m:rPr>
                <m:scr m:val="script"/>
                <m:sty m:val="i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0</m:t>
            </m:r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SPADE and qLogNEI supplied the GP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raw-unit plug-in variance</w:t>
      </w:r>
    </w:p>
    <w:p>
      <w:pPr>
        <w:widowControl/>
      </w:pPr>
      <m:oMath>
        <m:box>
          <m:e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i"/>
                  </m:rPr>
                  <m:t>y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0.01</m:t>
                </m:r>
              </m:e>
              <m:sup>
                <m:r>
                  <m:rPr>
                    <m:sty m:val="p"/>
                  </m:rPr>
                  <m:t>2</m:t>
                </m:r>
              </m:sup>
            </m:sSu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computed from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value rather than latent truth. The DoE adapters lacked per-well variances and used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their registered arm-constant plug-in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  <m:sup>
                <m:r>
                  <m:rPr>
                    <m:sty m:val="p"/>
                  </m:rPr>
                  <m:t>2</m:t>
                </m:r>
              </m:sup>
            </m:sSubSup>
            <m:sSup>
              <m:e>
                <m:limUpp>
                  <m:e>
                    <m:box>
                      <m:e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i"/>
                          </m:rP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e>
                    </m:box>
                  </m:e>
                  <m:lim>
                    <m:r>
                      <m:rPr>
                        <m:sty m:val="p"/>
                      </m:rPr>
                      <m:t>―</m:t>
                    </m:r>
                  </m:lim>
                </m:limUpp>
              </m:e>
              <m:sup>
                <m:r>
                  <m:rPr>
                    <m:sty m:val="p"/>
                  </m:rPr>
                  <m:t>2</m:t>
                </m:r>
              </m:sup>
            </m:sSup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common outcome model was a fixed-noise </w:t>
      </w:r>
      <w:r>
        <w:rPr>
          <w:rFonts w:ascii="Courier New" w:hAnsi="Courier New" w:eastAsia="Courier New" w:cs="Courier New"/>
          <w:color w:val="000000"/>
          <w:sz w:val="22"/>
        </w:rPr>
        <w:t>SingleTaskGP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 explicit unit-box input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normalization, standardized outcomes, a fitted constant mean, and a scaled Matérn-5/2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kernel with automatic relevance determination and a dimension-scaled length-scale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prior. Hyperparameters were fitted by exact marginal likelihood. SPADE began with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Sobol space-filling opening, refitted after every later batch, and used its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straddle implementation for adaptive high-response sampling.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implemented historical acquisition is retained because the target-aligned replacement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did not demonstrate improvement or earn adoption and worsened regret; no claim here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attributes the results to successful threshold targeting.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posterior draw </w:t>
      </w:r>
      <m:oMath>
        <m:box>
          <m:e>
            <m:r>
              <m:rPr>
                <m:sty m:val="i"/>
              </m:rPr>
              <m:t>b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finite-grid excursion set was</w:t>
      </w:r>
    </w:p>
    <w:p>
      <w:pPr>
        <w:widowControl/>
      </w:pPr>
      <m:oMath>
        <m:box>
          <m:e>
            <m:sSubSup>
              <m:e>
                <m:r>
                  <m:rPr>
                    <m:sty m:val="i"/>
                  </m:rPr>
                  <m:t>Γ</m:t>
                </m:r>
              </m:e>
              <m:sub>
                <m:r>
                  <m:rPr>
                    <m:sty m:val="i"/>
                  </m:rPr>
                  <m:t>τ</m:t>
                </m:r>
              </m:sub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bSup>
            <m:r>
              <m:rPr>
                <m:sty m:val="p"/>
              </m:rPr>
              <m:t>=</m:t>
            </m:r>
            <m:r>
              <m:rPr>
                <m:sty m:val="p"/>
              </m:rPr>
              <m:t>{</m:t>
            </m:r>
            <m:r>
              <m:rPr>
                <m:sty m:val="i"/>
              </m:rPr>
              <m:t>x</m:t>
            </m:r>
            <m:r>
              <m:rPr>
                <m:sty m:val="i"/>
              </m:rPr>
              <m:t>:</m:t>
            </m:r>
            <m:sSup>
              <m:e>
                <m:r>
                  <m:rPr>
                    <m:sty m:val="i"/>
                  </m:rPr>
                  <m:t>f</m:t>
                </m:r>
              </m:e>
              <m:sup>
                <m:box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box>
              </m:sup>
            </m:sSup>
            <m:r>
              <m:rPr>
                <m:sty m:val="p"/>
              </m:rPr>
              <m:t>(</m:t>
            </m:r>
            <m:r>
              <m:rPr>
                <m:sty m:val="i"/>
              </m:rP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rPr>
                <m:sty m:val="i"/>
              </m:rPr>
              <m:t>τ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on the 2,000-point scoring grid.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4,096 draws formed a coverage function and 64 nested Vorob'ev candidates. For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inflation </w:t>
      </w:r>
      <m:oMath>
        <m:box>
          <m:e>
            <m:r>
              <m:rPr>
                <m:sty m:val="i"/>
              </m:rPr>
              <m:t>c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rPr>
                <m:sty m:val="p"/>
              </m:rPr>
              <m:t>1.0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2.0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3.0</m:t>
            </m:r>
            <m:r>
              <m:rPr>
                <m:sty m:val="p"/>
              </m:rPr>
              <m:t>}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the common downstream estimator returned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largest scanned candidate whose same-draw Monte Carlo posterior joint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reached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>. “Largest” means largest in that finite nested family, not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global optimum over all continuous subsets. If no non-empty candidate passed,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procedure abstained.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used the same GP outcome model and well budget while allocating batches by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noisy expected improvement. Its observations were passed through the common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conservative-set estimator; regional certificates are therefore common post-processing,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an intrinsic qLogNEI output. Screened DoE used a 20-run six-factor screen, a 27-run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face-centred response-surface design in four factors, and one confirmation well.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unscreened arm retained the low-order workflow without screening. These implementations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 not represent all BO or classical-design methods.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Outcomes and calibration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terminal point recommendation was the visited condition with the largest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response; it was then scored by latent truth. Because each family was normalized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optimum one, simple regret was </w:t>
      </w:r>
      <m:oMath>
        <m:box>
          <m:e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i"/>
              </m:rPr>
              <m:t>f</m:t>
            </m:r>
            <m:r>
              <m:rPr>
                <m:sty m:val="p"/>
              </m:rPr>
              <m:t>(</m:t>
            </m:r>
            <m:limUpp>
              <m:e>
                <m:r>
                  <m:rPr>
                    <m:sty m:val="i"/>
                  </m:rPr>
                  <m:t>x</m:t>
                </m:r>
              </m:e>
              <m:lim>
                <m:r>
                  <m:rPr>
                    <m:sty m:val="p"/>
                  </m:rPr>
                  <m:t>^</m:t>
                </m:r>
              </m:lim>
            </m:limUpp>
            <m:r>
              <m:rPr>
                <m:sty m:val="p"/>
              </m:rPr>
              <m:t>)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. This prevents crediting a method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for visiting a strong point that its noisy observations did not identify.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 regional </w:t>
      </w:r>
      <w:r>
        <w:rPr>
          <w:rFonts w:ascii="Courier New" w:hAnsi="Courier New" w:eastAsia="Courier New" w:cs="Courier New"/>
          <w:color w:val="000000"/>
          <w:sz w:val="22"/>
        </w:rPr>
        <w:t>answered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outcome was a non-empty returned conservative set. </w:t>
      </w:r>
      <w:r>
        <w:rPr>
          <w:rFonts w:ascii="Courier New" w:hAnsi="Courier New" w:eastAsia="Courier New" w:cs="Courier New"/>
          <w:color w:val="000000"/>
          <w:sz w:val="22"/>
        </w:rPr>
        <w:t>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recorded whether an answered set was a subset of the known synthetic acceptable region;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answer rate was answered divided by eligible cells, conditional empirical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contained divided by answered, and certified volume was the returned fraction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2,000-point scoring grid. Abstention was not counted as containment.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cross-cell gate required a one-sided 95% Clopper–Pearson lower bound of at least 0.90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among answered cells and answer rate of at least 0.05.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C3 selected the smallest posterior inflation </w:t>
      </w:r>
      <w:r>
        <w:rPr>
          <w:rFonts w:ascii="Courier New" w:hAnsi="Courier New" w:eastAsia="Courier New" w:cs="Courier New"/>
          <w:color w:val="000000"/>
          <w:sz w:val="22"/>
        </w:rPr>
        <w:t>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that passed the registered rule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four families and evaluated volume on the held-out fifth family. It pooled prevalence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0.30 and 0.10, yielding five families x 32 seeds x two prevalences = 320 dependent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family-seed-prevalence cells. C2 used a weaker procedure: 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DC cells themselves. Neither DoE arm passed at any tested inflation, so its reported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counts are fallback diagnostics at baseline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>. C2 is within-sample and not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transportable; it is not the held-out-family calibration used for C3.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Earlier prospective map scoring used a fixed 0.50 cutoff. Its archived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count is a posterior self-consistency check, not empirical containment against the oracle.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retrospective terminal-rule comparison also used a common GP for all arms: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20,000-point screen, twenty restarts and 4,096 raw starts. Earlier quadratic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response-surface diagnostics are separate and are not substituted for that recommender.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Statistical analysis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were paired by family and seed or by family, seed, and prevalence. Frozen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analysers used 8,000 ordinary nonparametric resamples of flat contrast rows, percentile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intervals, and two-sided bootstrap tail-area proportions relative to zero.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flat-cell bootstrap treats cells as exchangeable. Because rows can share families,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landscapes, seeds, prevalences, and campaigns, its intervals are conditional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summaries and may be too narrow under dependence; cells are not independent campaigns.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Pooled Clopper–Pearson bounds similarly assume an ordinary binomial model.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regret smallest effect of interest was 0.02. An interval extending beyond that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boundary was not interpreted as equivalence. The C5 Spearman coefficient is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over 25 nested, nonexchangeable family-prevalence cells; no naive independence-based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p-value is interpreted.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Reproducibility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Analyses used Python 3.11 with PyTorch, GPyTorch, BoTorch, NumPy, SciPy, pandas,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scikit-learn. Frozen inputs, producing commands, exact estimates, guard coverage,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limitations are indexed in </w:t>
      </w: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The active PLOS source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remains in this repository. Consolidated C1–C6/S1 provenance is pinned to repository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commit </w:t>
      </w:r>
      <w:r>
        <w:rPr>
          <w:rFonts w:ascii="Courier New" w:hAnsi="Courier New" w:eastAsia="Courier New" w:cs="Courier New"/>
          <w:color w:val="000000"/>
          <w:sz w:val="22"/>
        </w:rPr>
        <w:t>ec14bc7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the ledger gives portable </w:t>
      </w:r>
      <w:r>
        <w:rPr>
          <w:rFonts w:ascii="Courier New" w:hAnsi="Courier New" w:eastAsia="Courier New" w:cs="Courier New"/>
          <w:color w:val="000000"/>
          <w:sz w:val="22"/>
        </w:rPr>
        <w:t>git 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detached-worktree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instructions. No frozen result was changed for this rewrite.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Artificial intelligence assistance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OpenAI Codex (GPT-based coding assistant) assisted with manuscript drafting and revision,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source-code inspection, figure-generation scripts, and document formatting. The authors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reviewed and edited all AI-assisted text and take responsibility for the scientific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interpretation, references, code, figures, and reported results. No generative AI system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used to create experimental data.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Matched five-round SPADE returned greater certified 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 states the local certification dimensions for C3. Under registered LOFO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calibration, five-round SPADE returned greater certified volume than five-round qLogNEI: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the SPADE-minus-qLogNEI difference was </w:t>
      </w:r>
      <w:r>
        <w:rPr>
          <w:rFonts w:ascii="Courier New" w:hAnsi="Courier New" w:eastAsia="Courier New" w:cs="Courier New"/>
          <w:color w:val="000000"/>
          <w:sz w:val="22"/>
        </w:rPr>
        <w:t>+0.000855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[+0.000691,+0.001028]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n=320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dependent cells).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is the primary result supporting SPADE for the tested operating-region decision.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does not establish a universal method ranking. The analogous positive three-round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claim was withdrawn after extension to 32 seeds.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1. C3 matched-round regional comparison.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cantSplit/>
          <w:tblHeader w:val="true"/>
        </w:trPr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Noise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Assurance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Calibration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Seeds and denominator</w:t>
            </w:r>
          </w:p>
        </w:tc>
        <w:tc>
          <w:tcPr>
            <w:tcW w:type="dxa" w:w="117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Result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synthetic families; SPADE vs qLogNEI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 and 0.10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0.95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LOFO inflation over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c={1,1.5,2,3}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 vs R5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32/family; 320 dependent family-seed-prevalence cells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Volume difference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+0.000855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Point regret showed no detectable difference from longer qLogNEI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DC, SPADE R5 minus qLogNEI R10 regret was </w:t>
      </w:r>
      <w:r>
        <w:rPr>
          <w:rFonts w:ascii="Courier New" w:hAnsi="Courier New" w:eastAsia="Courier New" w:cs="Courier New"/>
          <w:color w:val="000000"/>
          <w:sz w:val="22"/>
        </w:rPr>
        <w:t>-0.0005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[-0.0221,+0.0207]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p=0.96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, five families x 32 seeds).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Both used 48 wells. This is no detectable regret difference, not equivalence: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extends slightly beyond the registered +/-0.02 effect boundary, and neither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calendar duration nor cost was measured.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retained PLOS plots that follow are historical Hill terminal-rule and map-error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displays from the existing figure builders. They are not the C1 R5-versus-R10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 or the C3 certified-volume contrast in Table 1.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2. Historical supporting evidence: Rule A versus Rule P on identical Hill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campaigns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), not the C1 R5-versus-R10 contrast.** (A) Mean simple regret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under measured-selection Rule A and common-GP model-recommendation Rule P for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Hill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m:oMath>
        <m:box>
          <m:e>
            <m:sSub>
              <m:e>
                <m:r>
                  <m:rPr>
                    <m:sty m:val="i"/>
                  </m:rPr>
                  <m:t>σ</m:t>
                </m:r>
              </m:e>
              <m:sub>
                <m:box>
                  <m:e>
                    <m:r>
                      <m:rPr>
                        <m:sty m:val="p"/>
                      </m:rPr>
                      <m:t>rel</m:t>
                    </m:r>
                  </m:e>
                </m:box>
              </m:sub>
            </m:sSub>
            <m:r>
              <m:rPr>
                <m:sty m:val="p"/>
              </m:rPr>
              <m:t>=</m:t>
            </m:r>
            <m:r>
              <m:rPr>
                <m:sty m:val="p"/>
              </m:rPr>
              <m:t>0.25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 benchmark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50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paired campaigns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method). (B) Paired Rule P minus Rule A differences with 95% paired-bootstrap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intervals; negative values favor Rule P. SPADE shows the largest reduction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-0.0543</w:t>
      </w:r>
      <w:r>
        <w:rPr>
          <w:rFonts w:ascii="Times New Roman" w:hAnsi="Times New Roman" w:eastAsia="Times New Roman" w:cs="Times New Roman"/>
          <w:color w:val="000000"/>
          <w:sz w:val="24"/>
        </w:rPr>
        <w:t>), whereas the classical design increases regret (</w:t>
      </w:r>
      <w:r>
        <w:rPr>
          <w:rFonts w:ascii="Courier New" w:hAnsi="Courier New" w:eastAsia="Courier New" w:cs="Courier New"/>
          <w:color w:val="000000"/>
          <w:sz w:val="22"/>
        </w:rPr>
        <w:t>+0.1035</w:t>
      </w:r>
      <w:r>
        <w:rPr>
          <w:rFonts w:ascii="Times New Roman" w:hAnsi="Times New Roman" w:eastAsia="Times New Roman" w:cs="Times New Roman"/>
          <w:color w:val="000000"/>
          <w:sz w:val="24"/>
        </w:rPr>
        <w:t>) under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shared GP readout. (C) For compatible arms, Rule-A regret is decomposed into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search loss and identification loss. The ±0.02 smallest-effect band is not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this plot; it belongs to the map-error contrasts below.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3. Historical supporting evidence: registered-target map error versus Rule-P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regret, not matched-round certified volume.** (A) Registered Hill-target means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symmetric-difference map error and Rule-P simple regret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25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landscape-level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means per method); lower is better on both axes. (B) Paired SPADE-minus-comparator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contrasts with 95% intervals and the prespecified ±0.02 smallest effect size of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interest (shaded band). SPADE has lower map error than Sobol (</w:t>
      </w:r>
      <w:r>
        <w:rPr>
          <w:rFonts w:ascii="Courier New" w:hAnsi="Courier New" w:eastAsia="Courier New" w:cs="Courier New"/>
          <w:color w:val="000000"/>
          <w:sz w:val="22"/>
        </w:rPr>
        <w:t>-0.0109</w:t>
      </w:r>
      <w:r>
        <w:rPr>
          <w:rFonts w:ascii="Times New Roman" w:hAnsi="Times New Roman" w:eastAsia="Times New Roman" w:cs="Times New Roman"/>
          <w:color w:val="000000"/>
          <w:sz w:val="24"/>
        </w:rPr>
        <w:t>)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qLogNEI (</w:t>
      </w:r>
      <w:r>
        <w:rPr>
          <w:rFonts w:ascii="Courier New" w:hAnsi="Courier New" w:eastAsia="Courier New" w:cs="Courier New"/>
          <w:color w:val="000000"/>
          <w:sz w:val="22"/>
        </w:rPr>
        <w:t>-0.0327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), while Rule-P regret is </w:t>
      </w:r>
      <w:r>
        <w:rPr>
          <w:rFonts w:ascii="Courier New" w:hAnsi="Courier New" w:eastAsia="Courier New" w:cs="Courier New"/>
          <w:color w:val="000000"/>
          <w:sz w:val="22"/>
        </w:rPr>
        <w:t>+0.0094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relative to qLogNEI.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(C) Every equal-budget method consumes 48 wells, but feedback ranges from one to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ten rounds. (D) Hartmann (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6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m:oMath>
        <m:box>
          <m:e>
            <m:r>
              <m:rPr>
                <m:sty m:val="i"/>
              </m:rPr>
              <m:t>d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8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) robustness values are descriptive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means; intervals are unavailable. This plot is archived map-and-cost evidence,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the C3 certified-volume comparison.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DoE found a better point recipe but weaker regional containment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adverse point result is essential: screened DoE found the better point recipe in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three rounds. SPADE R5 minus screened-DoE R3 regret was </w:t>
      </w:r>
      <w:r>
        <w:rPr>
          <w:rFonts w:ascii="Courier New" w:hAnsi="Courier New" w:eastAsia="Courier New" w:cs="Courier New"/>
          <w:color w:val="000000"/>
          <w:sz w:val="22"/>
        </w:rPr>
        <w:t>+0.1026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[+0.0486,+0.1578]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p=0.0003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; </w:t>
      </w:r>
      <w:r>
        <w:rPr>
          <w:rFonts w:ascii="Courier New" w:hAnsi="Courier New" w:eastAsia="Courier New" w:cs="Courier New"/>
          <w:color w:val="000000"/>
          <w:sz w:val="22"/>
        </w:rPr>
        <w:t>n=160</w:t>
      </w:r>
      <w:r>
        <w:rPr>
          <w:rFonts w:ascii="Times New Roman" w:hAnsi="Times New Roman" w:eastAsia="Times New Roman" w:cs="Times New Roman"/>
          <w:color w:val="000000"/>
          <w:sz w:val="24"/>
        </w:rPr>
        <w:t>). SPADE used five rounds.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Regional evidence moved in the opposite direction (Table 2). At prevalence </w:t>
      </w:r>
      <w:r>
        <w:rPr>
          <w:rFonts w:ascii="Courier New" w:hAnsi="Courier New" w:eastAsia="Courier New" w:cs="Courier New"/>
          <w:color w:val="000000"/>
          <w:sz w:val="22"/>
        </w:rPr>
        <w:t>0.30</w:t>
      </w:r>
      <w:r>
        <w:rPr>
          <w:rFonts w:ascii="Times New Roman" w:hAnsi="Times New Roman" w:eastAsia="Times New Roman" w:cs="Times New Roman"/>
          <w:color w:val="000000"/>
          <w:sz w:val="24"/>
        </w:rPr>
        <w:t>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assurance </w:t>
      </w:r>
      <w:r>
        <w:rPr>
          <w:rFonts w:ascii="Courier New" w:hAnsi="Courier New" w:eastAsia="Courier New" w:cs="Courier New"/>
          <w:color w:val="000000"/>
          <w:sz w:val="22"/>
        </w:rPr>
        <w:t>0.95</w:t>
      </w:r>
      <w:r>
        <w:rPr>
          <w:rFonts w:ascii="Times New Roman" w:hAnsi="Times New Roman" w:eastAsia="Times New Roman" w:cs="Times New Roman"/>
          <w:color w:val="000000"/>
          <w:sz w:val="24"/>
        </w:rPr>
        <w:t>, 48 wells, and five families x 32 seeds,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SPADE selected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within the same DC sample, answered 66/160, and contained truth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 66/66 answered regions (observed conditional containment </w:t>
      </w:r>
      <w:r>
        <w:rPr>
          <w:rFonts w:ascii="Courier New" w:hAnsi="Courier New" w:eastAsia="Courier New" w:cs="Courier New"/>
          <w:color w:val="000000"/>
          <w:sz w:val="22"/>
        </w:rPr>
        <w:t>1.0000</w:t>
      </w:r>
      <w:r>
        <w:rPr>
          <w:rFonts w:ascii="Times New Roman" w:hAnsi="Times New Roman" w:eastAsia="Times New Roman" w:cs="Times New Roman"/>
          <w:color w:val="000000"/>
          <w:sz w:val="24"/>
        </w:rPr>
        <w:t>,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binomial lower bound </w:t>
      </w:r>
      <w:r>
        <w:rPr>
          <w:rFonts w:ascii="Courier New" w:hAnsi="Courier New" w:eastAsia="Courier New" w:cs="Courier New"/>
          <w:color w:val="000000"/>
          <w:sz w:val="22"/>
        </w:rPr>
        <w:t>0.9556</w:t>
      </w:r>
      <w:r>
        <w:rPr>
          <w:rFonts w:ascii="Times New Roman" w:hAnsi="Times New Roman" w:eastAsia="Times New Roman" w:cs="Times New Roman"/>
          <w:color w:val="000000"/>
          <w:sz w:val="24"/>
        </w:rPr>
        <w:t>). Neither DoE arm passed at any inflation, so baseline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diagnostics are reported: screened DoE answered 122/160 and contained 85/122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(</w:t>
      </w:r>
      <w:r>
        <w:rPr>
          <w:rFonts w:ascii="Courier New" w:hAnsi="Courier New" w:eastAsia="Courier New" w:cs="Courier New"/>
          <w:color w:val="000000"/>
          <w:sz w:val="22"/>
        </w:rPr>
        <w:t>0.6967</w:t>
      </w:r>
      <w:r>
        <w:rPr>
          <w:rFonts w:ascii="Times New Roman" w:hAnsi="Times New Roman" w:eastAsia="Times New Roman" w:cs="Times New Roman"/>
          <w:color w:val="000000"/>
          <w:sz w:val="24"/>
        </w:rPr>
        <w:t>); unscreened DoE answered 134/160 and contained 77/134 (</w:t>
      </w:r>
      <w:r>
        <w:rPr>
          <w:rFonts w:ascii="Courier New" w:hAnsi="Courier New" w:eastAsia="Courier New" w:cs="Courier New"/>
          <w:color w:val="000000"/>
          <w:sz w:val="22"/>
        </w:rPr>
        <w:t>0.5746</w:t>
      </w:r>
      <w:r>
        <w:rPr>
          <w:rFonts w:ascii="Times New Roman" w:hAnsi="Times New Roman" w:eastAsia="Times New Roman" w:cs="Times New Roman"/>
          <w:color w:val="000000"/>
          <w:sz w:val="24"/>
        </w:rPr>
        <w:t>).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within-sample descriptive results do not condemn DoE as a class or establish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transportable coverage.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2. C2 regional answers and point trade-off.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1337"/>
        <w:gridCol w:w="1337"/>
        <w:gridCol w:w="1337"/>
        <w:gridCol w:w="1337"/>
        <w:gridCol w:w="1337"/>
        <w:gridCol w:w="1337"/>
        <w:gridCol w:w="1338"/>
      </w:tblGrid>
      <w:tr>
        <w:trPr>
          <w:cantSplit/>
          <w:tblHeader w:val="true"/>
        </w:trPr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Arm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Scope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Prevalence; noise; assurance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Wells; rounds; seeds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Inflation rule</w:t>
            </w:r>
          </w:p>
        </w:tc>
        <w:tc>
          <w:tcPr>
            <w:tcW w:type="dxa" w:w="1337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Answered</w:t>
            </w:r>
          </w:p>
        </w:tc>
        <w:tc>
          <w:tcPr>
            <w:tcW w:type="dxa" w:w="1338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Contained among answers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SPADE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R5;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Within-DC selected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66/66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122/160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85/122</w:t>
            </w:r>
          </w:p>
        </w:tc>
      </w:tr>
      <w:tr>
        <w:trPr>
          <w:cantSplit/>
        </w:trPr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Unscreened DoE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Five families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0.30; 0.25; 0.95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48; R3; 32/family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No passing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; baseline </w:t>
            </w:r>
            <w:r>
              <w:rPr>
                <w:rFonts w:ascii="Courier New" w:hAnsi="Courier New" w:eastAsia="Courier New" w:cs="Courier New"/>
                <w:color w:val="000000"/>
                <w:sz w:val="16"/>
              </w:rPr>
              <w:t>c=1</w:t>
            </w: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 xml:space="preserve"> fallback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134/160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77/134</w:t>
            </w:r>
          </w:p>
        </w:tc>
      </w:tr>
    </w:tbl>
    <w:p>
      <w:pPr>
        <w:spacing w:after="40"/>
      </w:pP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Certifiability depended on family, prevalence, and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Across five families and prevalences 0.70, 0.50, 0.30, 0.20, and 0.10, SPADE answer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rate at </w:t>
      </w:r>
      <w:r>
        <w:rPr>
          <w:rFonts w:ascii="Courier New" w:hAnsi="Courier New" w:eastAsia="Courier New" w:cs="Courier New"/>
          <w:color w:val="000000"/>
          <w:sz w:val="22"/>
        </w:rPr>
        <w:t>c=1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alpha=0.95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48 wells, R5, relative noise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, and 64 seeds per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family was descriptively associated with mean seed-specific true margin-to-noise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(Spearman rho </w:t>
      </w:r>
      <w:r>
        <w:rPr>
          <w:rFonts w:ascii="Courier New" w:hAnsi="Courier New" w:eastAsia="Courier New" w:cs="Courier New"/>
          <w:color w:val="000000"/>
          <w:sz w:val="22"/>
        </w:rPr>
        <w:t>0.9880098603391883</w:t>
      </w:r>
      <w:r>
        <w:rPr>
          <w:rFonts w:ascii="Times New Roman" w:hAnsi="Times New Roman" w:eastAsia="Times New Roman" w:cs="Times New Roman"/>
          <w:color w:val="000000"/>
          <w:sz w:val="24"/>
        </w:rPr>
        <w:t>; 25 nested family-prevalence cells). The diagnostic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latent truth and is explanatory, not available prospectively. Shared families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ordered prevalences make the cells dependent and nonexchangeable.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For the biology-shaped but synthetic Hill family at prevalence </w:t>
      </w:r>
      <w:r>
        <w:rPr>
          <w:rFonts w:ascii="Courier New" w:hAnsi="Courier New" w:eastAsia="Courier New" w:cs="Courier New"/>
          <w:color w:val="000000"/>
          <w:sz w:val="22"/>
        </w:rPr>
        <w:t>0.70</w:t>
      </w:r>
      <w:r>
        <w:rPr>
          <w:rFonts w:ascii="Times New Roman" w:hAnsi="Times New Roman" w:eastAsia="Times New Roman" w:cs="Times New Roman"/>
          <w:color w:val="000000"/>
          <w:sz w:val="24"/>
        </w:rPr>
        <w:t>, under those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same settings, SPADE answered 40/64 and contained truth in 40/40 (ordinary-binomial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lower bound </w:t>
      </w:r>
      <w:r>
        <w:rPr>
          <w:rFonts w:ascii="Courier New" w:hAnsi="Courier New" w:eastAsia="Courier New" w:cs="Courier New"/>
          <w:color w:val="000000"/>
          <w:sz w:val="22"/>
        </w:rPr>
        <w:t>0.9278</w:t>
      </w:r>
      <w:r>
        <w:rPr>
          <w:rFonts w:ascii="Times New Roman" w:hAnsi="Times New Roman" w:eastAsia="Times New Roman" w:cs="Times New Roman"/>
          <w:color w:val="000000"/>
          <w:sz w:val="24"/>
        </w:rPr>
        <w:t>). qLogNEI answered 27/64 and contained 27/27; its limitation was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answer count required by the registered gate, not failure to return contained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regions.</w:t>
      </w:r>
    </w:p>
    <w:p>
      <w:pPr>
        <w:keepLines/>
        <w:spacing w:before="0" w:after="120" w:line="240" w:lineRule="auto"/>
      </w:pPr>
      <w:r>
        <w:rPr>
          <w:rFonts w:ascii="Times New Roman" w:hAnsi="Times New Roman" w:eastAsia="Times New Roman" w:cs="Times New Roman"/>
          <w:color w:val="000000"/>
          <w:sz w:val="20"/>
        </w:rPr>
        <w:t>**Fig 4. Historical supporting evidence: calibration, posterior self-consistency,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and answer-rate summaries, not C3 certified volume.** (A) Retrospective Hill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calibration error and refinement are descriptive summaries (</w:t>
      </w:r>
      <m:oMath>
        <m:box>
          <m:e>
            <m:r>
              <m:rPr>
                <m:sty m:val="i"/>
              </m:rPr>
              <m:t>n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1</m:t>
            </m:r>
            <m:box>
              <m:e>
                <m:r>
                  <m:rPr>
                    <m:sty m:val="p"/>
                  </m:rPr>
                  <m:t>,</m:t>
                </m:r>
              </m:e>
            </m:box>
            <m:r>
              <m:rPr>
                <m:sty m:val="p"/>
              </m:rPr>
              <m:t>200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repeated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threshold cells per method). (B) Prospective Hill fractions of non-empty campaigns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meeting the held-out posterior check, minus </w:t>
      </w:r>
      <m:oMath>
        <m:box>
          <m:e>
            <m:r>
              <m:rPr>
                <m:sty m:val="i"/>
              </m:rPr>
              <m:t>α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; this is posterior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self-consistency, not empirical containment against the oracle. Original 95%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binomial intervals do not adjust for repeated Hill instances. (C) In the separate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retrospective five-family study at </w:t>
      </w:r>
      <m:oMath>
        <m:box>
          <m:e>
            <m:r>
              <m:rPr>
                <m:sty m:val="i"/>
              </m:rPr>
              <m:t>α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0.95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>, campaigns returning any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non-empty certificate were 0/50 for Ackley, 11/50 for Hartmann6, 50/50 for Hill,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49/50 for Levy, and 50/50 for Rosenbrock; zero denotes refusal to certify.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(D) Conditional containment at </w:t>
      </w:r>
      <m:oMath>
        <m:box>
          <m:e>
            <m:r>
              <m:rPr>
                <m:sty m:val="i"/>
              </m:rPr>
              <m:t>α</m:t>
            </m:r>
            <m:r>
              <m:rPr>
                <m:sty m:val="p"/>
              </m:rPr>
              <m:t>=</m:t>
            </m:r>
            <m:r>
              <m:rPr>
                <m:sty m:val="p"/>
              </m:rPr>
              <m:t>0.80</m:t>
            </m:r>
          </m:e>
        </m:box>
      </m:oMath>
      <w:r>
        <w:rPr>
          <w:rFonts w:ascii="Times New Roman" w:hAnsi="Times New Roman" w:eastAsia="Times New Roman" w:cs="Times New Roman"/>
          <w:color w:val="000000"/>
          <w:sz w:val="24"/>
        </w:rPr>
        <w:t xml:space="preserve"> pools dependent non-empty cells.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These archived certificate displays are not the C3 certified-volume comparison.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Mean marginalisation diagnosed real-data posterior collapse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Treating the fitted GP mean as fixed had little effect in synthetic diagnostics: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mean-marginalised posterior width increased by </w:t>
      </w:r>
      <w:r>
        <w:rPr>
          <w:rFonts w:ascii="Courier New" w:hAnsi="Courier New" w:eastAsia="Courier New" w:cs="Courier New"/>
          <w:color w:val="000000"/>
          <w:sz w:val="22"/>
        </w:rPr>
        <w:t>1.004x–1.011x</w:t>
      </w:r>
      <w:r>
        <w:rPr>
          <w:rFonts w:ascii="Times New Roman" w:hAnsi="Times New Roman" w:eastAsia="Times New Roman" w:cs="Times New Roman"/>
          <w:color w:val="000000"/>
          <w:sz w:val="24"/>
        </w:rPr>
        <w:t>. The same correction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increased mean posterior marginal SD approximately </w:t>
      </w:r>
      <w:r>
        <w:rPr>
          <w:rFonts w:ascii="Courier New" w:hAnsi="Courier New" w:eastAsia="Courier New" w:cs="Courier New"/>
          <w:color w:val="000000"/>
          <w:sz w:val="22"/>
        </w:rPr>
        <w:t>484x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the in-house candidate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dataset and </w:t>
      </w:r>
      <w:r>
        <w:rPr>
          <w:rFonts w:ascii="Courier New" w:hAnsi="Courier New" w:eastAsia="Courier New" w:cs="Courier New"/>
          <w:color w:val="000000"/>
          <w:sz w:val="22"/>
        </w:rPr>
        <w:t>297x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published Hall–Ogle data. Observation-prediction LOO inflation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was assay-specific (</w:t>
      </w:r>
      <w:r>
        <w:rPr>
          <w:rFonts w:ascii="Courier New" w:hAnsi="Courier New" w:eastAsia="Courier New" w:cs="Courier New"/>
          <w:color w:val="000000"/>
          <w:sz w:val="22"/>
        </w:rPr>
        <w:t>c=0.712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in-house and </w:t>
      </w:r>
      <w:r>
        <w:rPr>
          <w:rFonts w:ascii="Courier New" w:hAnsi="Courier New" w:eastAsia="Courier New" w:cs="Courier New"/>
          <w:color w:val="000000"/>
          <w:sz w:val="22"/>
        </w:rPr>
        <w:t>c=0.526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published). These S2/S3 values are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retrospective, stdout-reproduced support without structured numerical guards. LOO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prediction does not identify latent-function uncertainty, and the in-house CD31 gates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remain </w:t>
      </w:r>
      <w:r>
        <w:rPr>
          <w:rFonts w:ascii="Courier New" w:hAnsi="Courier New" w:eastAsia="Courier New" w:cs="Courier New"/>
          <w:color w:val="000000"/>
          <w:sz w:val="22"/>
        </w:rPr>
        <w:t>awaiting_human_signoff</w:t>
      </w:r>
      <w:r>
        <w:rPr>
          <w:rFonts w:ascii="Times New Roman" w:hAnsi="Times New Roman" w:eastAsia="Times New Roman" w:cs="Times New Roman"/>
          <w:color w:val="000000"/>
          <w:sz w:val="24"/>
        </w:rPr>
        <w:t>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Failed targeting, the real-noise ceiling, and the unopened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target-aligned acquisition did not earn adoption. Relative to committed SPADE, its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certified-volume change was </w:t>
      </w:r>
      <w:r>
        <w:rPr>
          <w:rFonts w:ascii="Courier New" w:hAnsi="Courier New" w:eastAsia="Courier New" w:cs="Courier New"/>
          <w:color w:val="000000"/>
          <w:sz w:val="22"/>
        </w:rPr>
        <w:t>+0.000425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(95% CI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[-0.000022,+0.000875]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and its regret was worse by </w:t>
      </w:r>
      <w:r>
        <w:rPr>
          <w:rFonts w:ascii="Courier New" w:hAnsi="Courier New" w:eastAsia="Courier New" w:cs="Courier New"/>
          <w:color w:val="000000"/>
          <w:sz w:val="22"/>
        </w:rPr>
        <w:t>+0.0301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(95% CI </w:t>
      </w:r>
      <w:r>
        <w:rPr>
          <w:rFonts w:ascii="Courier New" w:hAnsi="Courier New" w:eastAsia="Courier New" w:cs="Courier New"/>
          <w:color w:val="000000"/>
          <w:sz w:val="22"/>
        </w:rPr>
        <w:t>[+0.0169,+0.0450]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</w:t>
      </w:r>
      <w:r>
        <w:rPr>
          <w:rFonts w:ascii="Courier New" w:hAnsi="Courier New" w:eastAsia="Courier New" w:cs="Courier New"/>
          <w:color w:val="000000"/>
          <w:sz w:val="22"/>
        </w:rPr>
        <w:t>p&lt;0.0001</w:t>
      </w:r>
      <w:r>
        <w:rPr>
          <w:rFonts w:ascii="Times New Roman" w:hAnsi="Times New Roman" w:eastAsia="Times New Roman" w:cs="Times New Roman"/>
          <w:color w:val="000000"/>
          <w:sz w:val="24"/>
        </w:rPr>
        <w:t>). Family effects cancelled. This failure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why SPADE's value is described architecturally rather than as a successful targeting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mechanism.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At measured real-assay relative noise 0.68, no tested arm certified. Replication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independent noise identification are therefore prerequisites for prospective use at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noise level.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 later future-response development grid evaluated nine candidate protocols on five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families. Table 3 reports its preserved ranges; every candidate missed the registered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containment floor on at least one family. The selector returned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power artifact was authorized, and the lockbox remained </w:t>
      </w:r>
      <w:r>
        <w:rPr>
          <w:rFonts w:ascii="Courier New" w:hAnsi="Courier New" w:eastAsia="Courier New" w:cs="Courier New"/>
          <w:color w:val="000000"/>
          <w:sz w:val="22"/>
        </w:rPr>
        <w:t>FROZEN_UNOPENED</w:t>
      </w:r>
      <w:r>
        <w:rPr>
          <w:rFonts w:ascii="Times New Roman" w:hAnsi="Times New Roman" w:eastAsia="Times New Roman" w:cs="Times New Roman"/>
          <w:color w:val="000000"/>
          <w:sz w:val="24"/>
        </w:rPr>
        <w:t>. No lockbox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evidence was opened.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3. Joint-protocol development ranges across nine candidates.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Family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Answer count range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Empirical containment range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Hill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49–50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0.140–0.490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Ackley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0.320–0.820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Hartmann6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0.440–0.940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47–49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0.213–0.333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Rosenbrock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47–50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0.061–0.320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Discussion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primary conclusion is decision-specific. At five matched rounds, SPADE produced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greater certified volume than qLogNEI under registered LOFO calibration. In the DC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 its answered regions also had stronger observed truth containment than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tested DoE pipelines. Those findings support SPADE when the requested deliverable is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conservative operating region and abstention is acceptable.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They do not support a universal ranking. The qLogNEI point comparison showed no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detectable difference and did not establish equivalence. Screened DoE found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substantially better point recipe in fewer rounds. A laboratory requiring one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may rationally prefer a point optimizer; a laboratory requiring a region faces a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different loss function.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contribution is integration and evidence, not theoretical priority. GP level-set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learning, Vorob'ev summaries, simultaneous posterior inclusion, and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excursion sets are established. SPADE adapts them to a fixed-well assay architecture,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uses common regional post-processing across comparator observations, and permits an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empty answer. The failed target-alignment experiment prevents attributing the observed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regional result to successful threshold targeting.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Scope and limitations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All comparative landscapes were synthetic, the domain was evaluated on finite grids,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and headline noise was </w:t>
      </w:r>
      <w:r>
        <w:rPr>
          <w:rFonts w:ascii="Courier New" w:hAnsi="Courier New" w:eastAsia="Courier New" w:cs="Courier New"/>
          <w:color w:val="000000"/>
          <w:sz w:val="22"/>
        </w:rPr>
        <w:t>0.25</w:t>
      </w:r>
      <w:r>
        <w:rPr>
          <w:rFonts w:ascii="Times New Roman" w:hAnsi="Times New Roman" w:eastAsia="Times New Roman" w:cs="Times New Roman"/>
          <w:color w:val="000000"/>
          <w:sz w:val="24"/>
        </w:rPr>
        <w:t>. Families, seeds, target prevalences, kernels, acquisition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implementations, and one 48-well budget bound the result. The tested DoE is one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low-order response-surface pipeline and qLogNEI is one BO acquisition.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Inference is conditional on the frozen benchmark. The flat-cell bootstrap may be too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narrow because repeated family-seed-prevalence cells are dependent. Pooled binomial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bounds do not become cluster-aware merely because they are exact under an ordinary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Bernoulli model. C2 calibration is within-sample; only C3 holds a family out during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inflation selection. Neither procedure supplies distribution-free or regulatory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coverage.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real-data analyses are retrospective diagnostics. They do not establish recipe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equivalence, manufacturing qualification, regulatory validation, or prospective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performance. The relative-noise ceiling, unsigned in-house gates, missing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replicate-tube noise identification, joint-protocol </w:t>
      </w:r>
      <w:r>
        <w:rPr>
          <w:rFonts w:ascii="Courier New" w:hAnsi="Courier New" w:eastAsia="Courier New" w:cs="Courier New"/>
          <w:color w:val="000000"/>
          <w:sz w:val="22"/>
        </w:rPr>
        <w:t>NO_SELECTION</w:t>
      </w:r>
      <w:r>
        <w:rPr>
          <w:rFonts w:ascii="Times New Roman" w:hAnsi="Times New Roman" w:eastAsia="Times New Roman" w:cs="Times New Roman"/>
          <w:color w:val="000000"/>
          <w:sz w:val="24"/>
        </w:rPr>
        <w:t>, and unopened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lockbox preclude such claims.</w:t>
      </w:r>
    </w:p>
    <w:p>
      <w:pPr>
        <w:pStyle w:val="Heading2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Relationship to published and retained evidence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4 situates the contribution. Physical and biological optimization studies provide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wet-lab relevance but usually answer different budget and decision questions.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Methodological papers supply the level-set and conservative-set foundations.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present simulation offers known truth but no biological validation.</w:t>
      </w: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4. Selected precedents and scope.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Evidence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Decision or method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Relationship to this study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Hall, Lin, and Ogle [7]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Experimental-design study of extracellular matrix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Published assay-shape support; not a SPADE campaign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Rummukainen et al. [8]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Physical DoE and adaptive optimization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Wet-process evidence with a different budget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Lapierre et al. [9]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Multicycle BO and two-step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Biological growth outcome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Gotovos et al. [13]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Level-set classification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level-set precedent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Azzimonti et al. [14]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Conservative excursion sets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Close estimator antecedent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Bogunovic et al. [15]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TruVaR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Optimization/level-set connection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Present study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Point and conservative-region decisions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Fixed-well synthetic comparison with abstention</w:t>
            </w:r>
          </w:p>
        </w:tc>
      </w:tr>
    </w:tbl>
    <w:p>
      <w:pPr>
        <w:spacing w:after="40"/>
      </w:pPr>
    </w:p>
    <w:p>
      <w:pPr>
        <w:keepNext/>
        <w:keepLines/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Table 5. Contribution and novelty boundary.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Ind w:w="120" w:type="dxa"/>
      </w:tblPr>
      <w:tblGrid>
        <w:gridCol w:w="2200"/>
        <w:gridCol w:w="3580"/>
        <w:gridCol w:w="3580"/>
      </w:tblGrid>
      <w:tr>
        <w:trPr>
          <w:cantSplit/>
          <w:tblHeader w:val="true"/>
        </w:trPr>
        <w:tc>
          <w:tcPr>
            <w:tcW w:type="dxa" w:w="220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Element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Classification</w:t>
            </w:r>
          </w:p>
        </w:tc>
        <w:tc>
          <w:tcPr>
            <w:tcW w:type="dxa" w:w="3580"/>
            <w:shd w:fill="E7E6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17"/>
              </w:rPr>
              <w:t>Present contribution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GP excursion sets, boundary learning, Vorob'ev candidates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Integrated, not claimed as new theory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qLogNEI and response-surface DoE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Established comparator ingredients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Implemented as specific fixed-budget pipelines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Per-well variances, round schedules, empty answer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Assay-oriented adaptation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Operational SPADE architecture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Common conservative-region estimator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Comparative-design choice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Separates observations from regional post-processing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Regret, volume, answers, and truth containment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Empirical evidence</w:t>
            </w:r>
          </w:p>
        </w:tc>
        <w:tc>
          <w:tcPr>
            <w:tcW w:type="dxa" w:w="35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Times New Roman" w:cs="Times New Roman"/>
                <w:color w:val="000000"/>
                <w:sz w:val="17"/>
              </w:rPr>
              <w:t>Bounded to named synthetic settings</w:t>
            </w:r>
          </w:p>
        </w:tc>
      </w:tr>
    </w:tbl>
    <w:p>
      <w:pPr>
        <w:spacing w:after="40"/>
      </w:pP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Conclusions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SPADE performed better for the tested operating-region decision: at matched five rounds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it returned greater certified volume than qLogNEI, and its answered DC regions had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stronger observed containment than the tested DoE pipelines. That regional conclusion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coexists with no detectable point-regret difference from longer qLogNEI, an interval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that did not establish equivalence, and a clear adverse result in which three-round DoE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found a better point recipe than five-round SPADE.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Choose SPADE when a moderate-noise, fixed-well campaign must return a conservative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operating region and may abstain; choose a point optimizer when only one recipe is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required. These computational results do not establish recipe equivalence,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manufacturing qualification, regulatory validation, or prospective wet-lab performance.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Data availability statement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Primary result files, analysis scripts, protocols, and supporting tables are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 the project repository at https://github.com/akwnn/nutrigene-ai-bo-ipsec. Original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software is released under the MIT License; original research materials (manuscript,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figures, synthetic datasets, and retained results) are released under CC BY 4.0 (see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LICENSE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and </w:t>
      </w:r>
      <w:r>
        <w:rPr>
          <w:rFonts w:ascii="Courier New" w:hAnsi="Courier New" w:eastAsia="Courier New" w:cs="Courier New"/>
          <w:color w:val="000000"/>
          <w:sz w:val="22"/>
        </w:rPr>
        <w:t>LICENSE-CONTENT.md</w:t>
      </w:r>
      <w:r>
        <w:rPr>
          <w:rFonts w:ascii="Times New Roman" w:hAnsi="Times New Roman" w:eastAsia="Times New Roman" w:cs="Times New Roman"/>
          <w:color w:val="000000"/>
          <w:sz w:val="24"/>
        </w:rPr>
        <w:t>). Audited reproduction paths are indexed in</w:t>
      </w:r>
    </w:p>
    <w:p>
      <w:pPr>
        <w:widowControl/>
      </w:pPr>
      <w:r>
        <w:rPr>
          <w:rFonts w:ascii="Courier New" w:hAnsi="Courier New" w:eastAsia="Courier New" w:cs="Courier New"/>
          <w:color w:val="000000"/>
          <w:sz w:val="22"/>
        </w:rPr>
        <w:t>manuscript/CLAIMS-AND-SOURCES.md</w:t>
      </w:r>
      <w:r>
        <w:rPr>
          <w:rFonts w:ascii="Times New Roman" w:hAnsi="Times New Roman" w:eastAsia="Times New Roman" w:cs="Times New Roman"/>
          <w:color w:val="000000"/>
          <w:sz w:val="24"/>
        </w:rPr>
        <w:t>. A DOI-bearing archival deposit remains pending;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repository is the current source of the materials described here.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Author contributions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Alana Wai Han Kwan: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Formal analysis; Investigation; Methodology;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Project administration; Validation; Visualization; Writing – original draft; Writing –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Joseph Yung: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Conceptualization; Data curation; Formal analysis; Investigation;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Methodology; Software; Validation; Writing – review &amp; editing.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Roles follow the CRediT taxonomy.</w:t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Acknowledgments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We thank the Obermeyer Research Group at Columbia University for research context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multicomponent formulation design. Computational experiments used synthetic landscapes;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 wet-lab samples were generated for this study.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References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1. Box GEP, Wilson KB. On the experimental attainment of optimum conditions. J R Stat Soc Series B Stat Methodol. 1951;13:1–38. doi:10.1111/j.2517-6161.1951.tb00067.x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2. Box GEP, Draper NR. Empirical model-building and response surfaces. New York: Wiley; 1987.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3. Myers RH, Montgomery DC, Anderson-Cook CM. Response surface methodology: Process and product optimization using designed experiments. 4th ed. Hoboken: Wiley; 2016.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4. Močkus J. On Bayesian methods for seeking the extremum. In: Marchuk GI, editor. Optimization techniques IFIP Technical Conference. Berlin: Springer; 1975. p. 400–404. doi:10.1007/3-540-07165-2_55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5. Jones DR, Schonlau M, Welch WJ. Efficient global optimization of expensive black-box functions. J Glob Optim. 1998;13:455–492. doi:10.1023/A:1008306431147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6. Frazier PI. A tutorial on Bayesian optimization. arXiv:1807.02811 [Preprint]. 2018 [cited 2026 Aug 26]. Available from: https://arxiv.org/abs/1807.02811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7. Hall ML, Lin W-H, Ogle BM. Optimizing extracellular matrix for endothelial differentiation using a design of experiments approach. Sci Rep. 2025;15:24479. doi:10.1038/s41598-025-09256-9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8. Rummukainen H, Hörhammer H, Kuusela P, Kilpi J, Sirviö J, Mäkelä M. Traditional or adaptive design of experiments? A pilot-scale comparison on wood delignification. Heliyon. 2024;10:e24484. doi:10.1016/j.heliyon.2024.e24484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9. Lapierre F, Mattaliano P, Raith D, Castillo-Cota M, Bermeitinger J, Huber R. Multi-cycle high-throughput growth media optimization using batch Bayesian optimization. J Chem Technol Biotechnol. 2025;100:1571–1583. doi:10.1002/jctb.7860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10. Ndahiro N, Ma E, Bertalan T, Donohue M, Kevrekidis Y, Betenbaugh M. Integration of Bayesian optimization and solution thermodynamics to optimize media design for mammalian biomanufacturing. iScience. 2025;28:112944. doi:10.1016/j.isci.2025.112944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11. Narayanan H, Hinckley JA, Barry R, Dang B, Wolffe LA, Atari A, Tseng Y-Y, Love JC. Accelerating cell culture media development using Bayesian optimization-based iterative experimental design. Nat Commun. 2025;16:6055. doi:10.1038/s41467-025-61113-5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12. Gisperg F, Klausser R, Elshazly M, Kopp J, Přáda Brichtová E, Spadiut O. Bayesian optimization in bioprocess engineering—Where do we stand today? Biotechnol Bioeng. 2025;122:1313–1325. doi:10.1002/bit.28960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13. Gotovos A, Casati N, Hitz G, Krause A. Active learning for level set estimation. Proceedings of the Twenty-Third International Joint Conference on Artificial Intelligence. 2013. Available from: https://people.csail.mit.edu/alkisg/files/gotovos13active.pdf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14. Azzimonti D, Ginsbourger D, Chevalier C, Bect J, Richet Y. Adaptive design of experiments for conservative estimation of excursion sets. Technometrics. 2021;63:13–26. doi:10.1080/00401706.2019.1693427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15. Bogunovic I, Scarlett J, Krause A, Cevher V. Truncated variance reduction: A unified approach to Bayesian optimization and level-set estimation. Advances in Neural Information Processing Systems. 2016;29. Available from: https://papers.neurips.cc/paper_files/paper/2016/hash/ce78d1da254c0843eb23951ae077ff5f-Abstract.html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16. Ament S, Daulton S, Eriksson D, Balandat M, Bakshy E. Unexpected improvements to expected improvement for Bayesian optimization. Advances in Neural Information Processing Systems. 2023;36. Available from: https://proceedings.neurips.cc/paper_files/paper/2023/hash/419f72cbd568ad62183f8132a3605a2a-Abstract-Conference.html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17. Gneiting T, Raftery AE. Strictly proper scoring rules, prediction, and estimation. J Am Stat Assoc. 2007;102:359–378. doi:10.1198/016214506000001437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18. Balandat M, Karrer B, Jiang D, Daulton S, Letham B, Wilson AG, et al. BoTorch: A framework for efficient Monte-Carlo Bayesian optimization. Advances in Neural Information Processing Systems. 2020;33. Available from: https://proceedings.neurips.cc/paper/2020/hash/f5b1b89d98b7286673128a5fb112cb9a-Abstract.html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19. Mia I, Tiihonen A, Ernst A, Srivastava A, Buonassisi T, Vandenberghe W, et al. Multi-variable batch Bayesian optimization in materials research: Synthetic data analysis of noise sensitivity and problem landscape effects. J Mater Res. 2026;41:927–948. doi:10.1557/s43578-026-01803-y</w:t>
      </w:r>
    </w:p>
    <w:p>
      <w:pPr>
        <w:spacing w:line="240" w:lineRule="auto" w:after="80"/>
        <w:ind w:left="360" w:hanging="360"/>
      </w:pPr>
      <w:r>
        <w:rPr>
          <w:rFonts w:ascii="Times New Roman" w:hAnsi="Times New Roman" w:eastAsia="Times New Roman" w:cs="Times New Roman"/>
          <w:color w:val="000000"/>
          <w:sz w:val="20"/>
        </w:rPr>
        <w:t>20. Morris TP, White IR, Crowther MJ. Using simulation studies to evaluate statistical methods. Stat Med. 2019;38:2074–2102. doi:10.1002/sim.8086</w:t>
      </w:r>
    </w:p>
    <w:p>
      <w:r>
        <w:br w:type="page"/>
      </w:r>
    </w:p>
    <w:p>
      <w:pPr>
        <w:pStyle w:val="Heading1"/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Supporting information captions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The four retained PLOS figures are the only figure files cited here. Figures 2–4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are historical or supporting Hill terminal-rule, map-error, and certificate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displays; they are not C3 certified-volume evidence. That comparison remains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Table 1.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S1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Archived historical supporting table of prospective calibration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refinement metrics from final raw rows (not a current C1 or C3 headline). Means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use 25 Hill landscape instances with four campaign seeds averaged within each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instance. Calibration uses latent acceptability labels, maps use a 0.50 cutoff,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and point recommendations use a common GP. The CSV contains all 12 available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target-condition arms, including the 40-well reference.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S2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Archived historical supporting table: seven-condition comparison for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six matched-budget strategies. Hill estimates use 25 instances with four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campaigns per instance; external-function estimates summarize 100 campaigns on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each specified function. Archived certificate statuses refer to posterior checks,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not empirical validity. All listed arms use 48 wells; lower map error and Rule-P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regret are better. This table is not the C3 matched-round certified-volume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comparison.</w:t>
      </w:r>
    </w:p>
    <w:p>
      <w:pPr>
        <w:widowControl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>S3 Table.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Archived historical supporting table of claim decisions and current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source-reconciled interpretations (kill-ledger). Original statuses, numerical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results, and interpretation text are preserved in separate columns from the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corrected interpretation. Certificate checks do not establish empirical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validity; the Plate-2 gain is below the practical threshold, and the qLogNEI map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contrast exceeds that threshold. Denominators retain their original units and</w:t>
      </w:r>
    </w:p>
    <w:p>
      <w:pPr>
        <w:widowControl/>
      </w:pPr>
      <w:r>
        <w:rPr>
          <w:rFonts w:ascii="Times New Roman" w:hAnsi="Times New Roman" w:eastAsia="Times New Roman" w:cs="Times New Roman"/>
          <w:color w:val="000000"/>
          <w:sz w:val="24"/>
        </w:rPr>
        <w:t>are not uniformly independent campaigns.</w:t>
      </w:r>
    </w:p>
    <w:sectPr w:rsidR="00FC693F" w:rsidRPr="0006063C" w:rsidSect="00034616">
      <w:footerReference w:type="default" r:id="rId9"/>
      <w:pgSz w:w="12240" w:h="15840"/>
      <w:pgMar w:top="1440" w:right="1440" w:bottom="2160" w:left="1440" w:header="708" w:footer="708" w:gutter="0"/>
      <w:cols w:space="720"/>
      <w:docGrid w:linePitch="360"/>
      <w:lnNumType w:countBy="1" w:start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0"/>
      </w:rPr>
      <w:t xml:space="preserve">Page </w:t>
    </w:r>
    <w:r>
      <w:rPr>
        <w:rFonts w:ascii="Times New Roman" w:hAnsi="Times New Roman" w:eastAsia="Times New Roman" w:cs="Times New Roman"/>
        <w:color w:val="000000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480" w:lineRule="auto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4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 w:line="24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SPADE improves operating-region decisions under fixed experimental budgets: a synthetic comparison with Bayesian optimization and response-surface design</dc:title>
  <dc:subject>PLOS ONE research article manuscript</dc:subject>
  <dc:creator>python-docx</dc:creator>
  <cp:keywords>SPADE; Bayesian optimization; response-surface methodology; design space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