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 may want either one best recipe or a set of settings it can trust to stay above a quality threshold. Those goals are different, so the “best” method can change with the goal. We tested SPADE (Synthetic Posterior Abstaining Design for Excursions)—software that tries to return a conservative operating region and may say “not sure” instead of guessing—against noisy Bayesian optimization (qLogNEI) and classical response-surface DoE on synthetic test problems, all with the same 48-well budget. Conclusion: on this benchmark, choose SPADE when you need a trusted region; choose DoE (or similar) when you only need one recipe. Against qLogNEI at five matched rounds, SPADE returned a usable region much more often (116 of 320 comparisons versus 6 of 320). When a method returned nothing, we counted certified volume as zero. Mean certified volume was therefore higher for SPADE (0.000864 versus 0.0000094 on a 2,000-point scoring grid; difference +0.000855). A 95% confidence interval for that average difference ran from +0.000691 to +0.001028 and did not include zero; a randomization check gave p &lt; 0.000125. Certified volume means the fraction of that scoring grid inside the region the method is willing to call acceptable (one grid point = 0.0005). Among the rare times qLogNEI did answer, its mean certified volume was still lower (0.00050 versus 0.00238 for SPADE). Against DoE, SPADE’s answered regions always matched truth (66/66), while DoE answered more often but was often wrong. DoE did win at finding a single best recipe. Five-round SPADE looked similar to longer ten-round qLogNEI on recipe quality, without proving they are equivalent. These findings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several linked comparisons. The primary regional question is whether matched five-round SPADE returns greater certified volume than qLogNEI. A second question is whether five-round SPADE differs detectably from ten-round qLogNEI on point regret. A third compares regional containment and point regret with one screened and one unscreened response-surface DoE pipeline. We also ask whether three-round SPADE improves point regret relative to one-shot Latin hypercube sampling, and we examine how answer rates vary with family and prevalence. Supporting retrospective analyses diagnose real-data posterior collapse and assay-specific calibration. A failed targeting variant,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The DC program supplied the one-process point comparison and the DoE comparison. The LC program supplied the leave-one-family-out matched-round volume comparison. The TAU program supplied the prevalence and margin-to-noise analyses. The TT program tested the proposed targeting mechanism. Retrospective in-house and published Hall–Ogle data supplied supporting uncertainty diagnostics,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In plain language we score two end-of-run decisions. A point recipe is “pick one setting”; we measure how far that pick is from the true best (simple regret; lower is better). An operating region is “which settings are still good enough?”; we measure certified volume (the fraction of the scoring grid inside the returned region), whether that region sits inside truth when it answers (containment), and how often it refuses to answer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The matched-round volume comparison selected the smallest posterior inflation c that passed the registered rule on four families and evaluated volume on the held-out fifth family. It pooled prevalence 0.30 and 0.10, yielding five families × 32 seeds × two prevalences = 320 dependent family-seed-prevalence cells. The DoE regional comparison used a weaker procedure: SPADE selected c = 1 within the DC cells themselves. Neither DoE arm passed at any tested inflation, so its reported counts are fallback diagnostics at baseline c = 1. That DoE comparison is within-sample and not transportable; it is not the held-out-family calibration used for the matched-round volume comparison.</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family–prevalence Spearman coefficient relating answer rate to margin-to-noise is descriptive over 25 nested, nonexchangeable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claim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matched-round volume comparison. In plain terms: after the same number of feedback rounds and the same 48 wells, does SPADE achieve higher certified volume than qLogNEI under the same regional rules?</w:t>
      </w:r>
    </w:p>
    <w:p>
      <w:pPr>
        <w:widowControl/>
      </w:pPr>
      <w:r>
        <w:rPr>
          <w:rFonts w:ascii="Times New Roman" w:hAnsi="Times New Roman" w:eastAsia="Times New Roman" w:cs="Times New Roman"/>
          <w:color w:val="000000"/>
          <w:sz w:val="24"/>
        </w:rPr>
        <w:t>Yes—mainly because SPADE returns a non-empty region more often, which raises mean certified volume when abstentions count as zero.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grid points of certified volume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So the headline is mostly an answer-rate result: qLogNEI almost never returns non-zero certified volume under these rules. When both methods did answer, SPADE’s mean certified volume was still higher (0.00238 versus 0.00050, i.e., about one grid point for qLogNEI). We did not pre-register a “how big a volume win counts” threshold, so we treat this as directional support for the region decision—not a claim that SPADE is always best. A similar three-round volume claim was withdrawn after more seeds were run.</w:t>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Mean certified-volume difference (SPADE minus qLogNEI)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Matched-round certified-volume comparison (SPADE vs qLogNEI).</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Here the question is recipe quality, not regions. Both methods used 48 wells; SPADE used five rounds and qLogNEI used ten. Average simple regret differed by −0.0005 (SPADE minus qLogNEI), with a 95% confidence interval from −0.0221 to +0.0207 (p = 0.96; n = 160 family–seed pairs). In words: we see no clear winner on the single best recipe, and the interval is wide enough that we also cannot claim the two methods are practically equivalent within the pre-set ±0.02 margin. Calendar time and dollar cost were not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Regional answers and point trade-off versus DoE.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Lines/>
        <w:spacing w:before="0" w:after="120" w:line="240" w:lineRule="auto"/>
      </w:pPr>
      <w:r>
        <w:rPr>
          <w:rFonts w:ascii="Times New Roman" w:hAnsi="Times New Roman" w:eastAsia="Times New Roman" w:cs="Times New Roman"/>
          <w:b/>
          <w:color w:val="000000"/>
          <w:sz w:val="20"/>
        </w:rPr>
        <w:t>Fig 4. Extra SPADE checks versus space-filling sampling and on Hill.</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retrospective values are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DoE-comparison calibration is within-sample; only the matched-round volume comparison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SPADE checks versus space-filling sampling and on Hill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part of the current point-regret comparison.</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part of the current matched-round volume comparison.</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matched-round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