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SPADE improves operating-region decisions under fixed experimental budgets: a synthetic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an assay-oriented integration of established Gaussian-process level-set and conservative-set methods, against noisy Bayesian optimization (qLogNEI) and a response-surface design of experiments (DoE) on synthetic families under 48-well budgets. Primary matched-round evidence came first: at five rounds, SPADE returned greater certified volume than qLogNEI (+0.000855, 95% CI [+0.000691, +0.001028], p &lt; 0.0001, n = 320 dependent family-seed-prevalence cells under leave-one-family-out calibration). Thus SPADE was better for the tested operating-region decision, not universally better. In the one-process point comparison, five-round SPADE showed no detectable regret difference from ten-round qLogNEI (-0.0005, 95% CI [-0.0221, +0.0207], p = 0.96, n = 160), but the interval did not establish equivalence. The adverse DoE result was substantial: screened three-round DoE found the better point recipe (+0.1026 SPADE-minus-DoE regret, 95% CI [+0.0486, +0.1578], p = 0.0003), while five-round SPADE answered 66/160 regional decisions and contained truth in 66/66, compared with 85/122 and 77/134 contained answers for screened and unscreened DoE. Flat-cell intervals are conditional and dependence may make them too narrow.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 xml:space="preserve">We report six linked findings.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C5 and C6 examine family/prevalence scope. S2 and S3 diagnose real-data posterior collapse and assay-specific calibration. Finally, S1, a real-noise ceiling, and a later </w:t>
      </w:r>
      <w:r>
        <w:rPr>
          <w:rFonts w:ascii="Times New Roman" w:hAnsi="Times New Roman" w:eastAsia="Times New Roman" w:cs="Times New Roman"/>
          <w:i/>
          <w:color w:val="000000"/>
          <w:sz w:val="24"/>
        </w:rPr>
        <w:t>NO_SELECTION</w:t>
      </w:r>
      <w:r>
        <w:rPr>
          <w:rFonts w:ascii="Times New Roman" w:hAnsi="Times New Roman" w:eastAsia="Times New Roman" w:cs="Times New Roman"/>
          <w:color w:val="000000"/>
          <w:sz w:val="24"/>
        </w:rPr>
        <w:t xml:space="preserve"> development gate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Method selection under a fixed 48-well budget. Choose SPADE when the campaign must return a trusted operating region with honest abstention. Choose a point optimizer (DoE or BO) when only one carry-forward recipe is required. Under very high assay-like noise, abstain and replicate rather than claiming a region.</w:t>
      </w:r>
    </w:p>
    <w:p>
      <w:pPr>
        <w:widowControl/>
      </w:pPr>
      <w:r>
        <w:rPr>
          <w:rFonts w:ascii="Times New Roman" w:hAnsi="Times New Roman" w:eastAsia="Times New Roman" w:cs="Times New Roman"/>
          <w:color w:val="000000"/>
          <w:sz w:val="24"/>
        </w:rPr>
        <w:t>one 48-well campaign. (B) The same sampled campaign supports a point decision or a region decision, including abstention. (C) The estimand ledger distinguishes the reported object, observability, score, extra wells, and rounds for each deliverable.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LOFO calibration, five-round SPADE returned greater certified volume than five-round qLogNEI: the SPADE-minus-qLogNEI difference was +0.000855 (95% CI [+0.000691, +0.001028], p &lt; 0.0001, n = 320 dependent cells). This is the primary result supporting SPADE for the tested operating-region decision. It does not establish a universal method ranking. The analogous positive three-round claim was withdrawn after extension to 32 seeds.</w:t>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 (A) Certified-volume difference (SPADE minus qLogNEI) at matched five rounds under leave-one-family-out calibration: +0.000855 (95% CI [+0.000691, +0.001028], p &lt; 0.0001, n = 320); absolute means are noted under the panel. (B) Observed truth containment among answered regions at prevalence 0.30: SPADE 66/66 versus screened DoE 85/122 and unscreened DoE 77/134.</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x 32 seeds, SPADE selected c=1 within the same DC sample, answered 66/160, and contained truth in 66/66 answered regions (observed conditional containment 1.0000, ordinary binomial lower bound 0.9556). Neither DoE arm passed at any inflation, so baseline c=1 diagnostics are reported: screened DoE answered 122/160 and contained 85/122 (0.6967); unscreened DoE answered 134/160 and contained 77/134 (0.5746).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337"/>
        <w:gridCol w:w="1337"/>
        <w:gridCol w:w="1337"/>
        <w:gridCol w:w="1337"/>
        <w:gridCol w:w="1337"/>
        <w:gridCol w:w="1337"/>
        <w:gridCol w:w="1338"/>
      </w:tblGrid>
      <w:tr>
        <w:trPr>
          <w:cantSplit/>
          <w:tblHeader w:val="true"/>
        </w:trPr>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337"/>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338"/>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r>
      <w:tr>
        <w:trPr>
          <w:cantSplit/>
        </w:trPr>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Within-DC selected c=1</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338"/>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r>
      <w:tr>
        <w:trPr>
          <w:cantSplit/>
        </w:trPr>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338"/>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r>
      <w:tr>
        <w:trPr>
          <w:cantSplit/>
        </w:trPr>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337"/>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338"/>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r>
    </w:tbl>
    <w:p>
      <w:pPr>
        <w:spacing w:after="40"/>
      </w:pPr>
    </w:p>
    <w:p>
      <w:pPr>
        <w:keepLines/>
        <w:spacing w:before="0" w:after="120" w:line="240" w:lineRule="auto"/>
      </w:pPr>
      <w:r>
        <w:rPr>
          <w:rFonts w:ascii="Times New Roman" w:hAnsi="Times New Roman" w:eastAsia="Times New Roman" w:cs="Times New Roman"/>
          <w:b/>
          <w:color w:val="000000"/>
          <w:sz w:val="20"/>
        </w:rPr>
        <w:t>Fig 4. Additional locked SPADE evidence. (A) At three rounds SPADE has lower regret than one-shot Latin hypercube sampling (SPADE−LHS −0.0783; shown as positive SPADE advantage). (B) On the biology-shaped Hill family at prevalence 0.70, SPADE answers 40/64 trusted regions versus 27/64 for qLogNEI; both arms contain truth in every answered cell.</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Mean marginalisation diagnosed real-data posterior collapse</w:t>
      </w:r>
    </w:p>
    <w:p>
      <w:pPr>
        <w:widowControl/>
      </w:pPr>
      <w:r>
        <w:rPr>
          <w:rFonts w:ascii="Times New Roman" w:hAnsi="Times New Roman" w:eastAsia="Times New Roman" w:cs="Times New Roman"/>
          <w:color w:val="000000"/>
          <w:sz w:val="24"/>
        </w:rPr>
        <w:t xml:space="preserve">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w:t>
      </w:r>
      <w:r>
        <w:rPr>
          <w:rFonts w:ascii="Times New Roman" w:hAnsi="Times New Roman" w:eastAsia="Times New Roman" w:cs="Times New Roman"/>
          <w:i/>
          <w:color w:val="000000"/>
          <w:sz w:val="24"/>
        </w:rPr>
        <w:t>awaiting_human_signoff</w:t>
      </w:r>
      <w:r>
        <w:rPr>
          <w:rFonts w:ascii="Times New Roman" w:hAnsi="Times New Roman" w:eastAsia="Times New Roman" w:cs="Times New Roman"/>
          <w:color w:val="000000"/>
          <w:sz w:val="24"/>
        </w:rPr>
        <w:t>.</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 xml:space="preserve">A later future-response development grid evaluated nine candidate protocols on five families. Table 3 reports its preserved ranges; every candidate missed the registered containment floor on at least one family. The selector returned </w:t>
      </w:r>
      <w:r>
        <w:rPr>
          <w:rFonts w:ascii="Times New Roman" w:hAnsi="Times New Roman" w:eastAsia="Times New Roman" w:cs="Times New Roman"/>
          <w:i/>
          <w:color w:val="000000"/>
          <w:sz w:val="24"/>
        </w:rPr>
        <w:t>NO_SELECTION</w:t>
      </w:r>
      <w:r>
        <w:rPr>
          <w:rFonts w:ascii="Times New Roman" w:hAnsi="Times New Roman" w:eastAsia="Times New Roman" w:cs="Times New Roman"/>
          <w:color w:val="000000"/>
          <w:sz w:val="24"/>
        </w:rPr>
        <w:t xml:space="preserve">, no power artifact was authorized, and the lockbox remained </w:t>
      </w:r>
      <w:r>
        <w:rPr>
          <w:rFonts w:ascii="Times New Roman" w:hAnsi="Times New Roman" w:eastAsia="Times New Roman" w:cs="Times New Roman"/>
          <w:i/>
          <w:color w:val="000000"/>
          <w:sz w:val="24"/>
        </w:rPr>
        <w:t>FROZEN_UNOPENED</w:t>
      </w:r>
      <w:r>
        <w:rPr>
          <w:rFonts w:ascii="Times New Roman" w:hAnsi="Times New Roman" w:eastAsia="Times New Roman" w:cs="Times New Roman"/>
          <w:color w:val="000000"/>
          <w:sz w:val="24"/>
        </w:rPr>
        <w:t>.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 xml:space="preserve">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w:t>
      </w:r>
      <w:r>
        <w:rPr>
          <w:rFonts w:ascii="Times New Roman" w:hAnsi="Times New Roman" w:eastAsia="Times New Roman" w:cs="Times New Roman"/>
          <w:i/>
          <w:color w:val="000000"/>
          <w:sz w:val="24"/>
        </w:rPr>
        <w:t>NO_SELECTION</w:t>
      </w:r>
      <w:r>
        <w:rPr>
          <w:rFonts w:ascii="Times New Roman" w:hAnsi="Times New Roman" w:eastAsia="Times New Roman" w:cs="Times New Roman"/>
          <w:color w:val="000000"/>
          <w:sz w:val="24"/>
        </w:rPr>
        <w:t>,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 xml:space="preserve">Primary result files, analysis scripts, protocols, and supporting tables are available in the project repository at https://github.com/akwnn/nutrigene-ai-bo-ipsec. Original software is released under the MIT License; original research materials (manuscript, figures, synthetic datasets, and retained results) are released under CC BY 4.0 (see </w:t>
      </w:r>
      <w:r>
        <w:rPr>
          <w:rFonts w:ascii="Times New Roman" w:hAnsi="Times New Roman" w:eastAsia="Times New Roman" w:cs="Times New Roman"/>
          <w:i/>
          <w:color w:val="000000"/>
          <w:sz w:val="24"/>
        </w:rPr>
        <w:t>LICENSE</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LICENSE-CONTENT.md</w:t>
      </w:r>
      <w:r>
        <w:rPr>
          <w:rFonts w:ascii="Times New Roman" w:hAnsi="Times New Roman" w:eastAsia="Times New Roman" w:cs="Times New Roman"/>
          <w:color w:val="000000"/>
          <w:sz w:val="24"/>
        </w:rPr>
        <w:t xml:space="preserve">). Audited reproduction paths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A DOI-bearing archival deposit remains pending; the repository is the current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SPADE improves operating-region decisions under fixed experimental budgets: a synthetic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