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240" w:line="240" w:lineRule="auto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Cover letter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Dear Editors,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Please consider our research article, “SPADE improves operating-region decisions under fixed experimental budgets: a synthetic comparison with Bayesian optimization and response-surface design,” for PLOS ONE.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Cell-manufacturing and formulation campaigns often treat “find the best recipe” and “define a trustworthy operating region” as if they were the same decision. They are not. We evaluate SPADE, an assay-oriented integration of established Gaussian-process level-set and conservative-set methods, against noisy Bayesian optimization (qLogNEI) and response-surface design of experiments under matched 48-well budgets on synthetic landscapes.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contribution is decision guidance for operating-region use cases, not universal method superiority. At matched five rounds, SPADE returned greater certified volume than qLogNEI (</w:t>
      </w:r>
      <w:r>
        <w:rPr>
          <w:rFonts w:ascii="Courier New" w:hAnsi="Courier New" w:eastAsia="Courier New" w:cs="Courier New"/>
          <w:color w:val="000000"/>
          <w:sz w:val="22"/>
        </w:rPr>
        <w:t>+0.000855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95% CI </w:t>
      </w:r>
      <w:r>
        <w:rPr>
          <w:rFonts w:ascii="Courier New" w:hAnsi="Courier New" w:eastAsia="Courier New" w:cs="Courier New"/>
          <w:color w:val="000000"/>
          <w:sz w:val="22"/>
        </w:rPr>
        <w:t>[+0.000691,+0.001028]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2"/>
        </w:rPr>
        <w:t>p&lt;0.0001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2"/>
        </w:rPr>
        <w:t>n=320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dependent cells). Five-round SPADE showed no detectable point-regret difference from ten-round qLogNEI (</w:t>
      </w:r>
      <w:r>
        <w:rPr>
          <w:rFonts w:ascii="Courier New" w:hAnsi="Courier New" w:eastAsia="Courier New" w:cs="Courier New"/>
          <w:color w:val="000000"/>
          <w:sz w:val="22"/>
        </w:rPr>
        <w:t>-0.0005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95% CI </w:t>
      </w:r>
      <w:r>
        <w:rPr>
          <w:rFonts w:ascii="Courier New" w:hAnsi="Courier New" w:eastAsia="Courier New" w:cs="Courier New"/>
          <w:color w:val="000000"/>
          <w:sz w:val="22"/>
        </w:rPr>
        <w:t>[-0.0221,+0.0207]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2"/>
        </w:rPr>
        <w:t>p=0.96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2"/>
        </w:rPr>
        <w:t>n=160</w:t>
      </w:r>
      <w:r>
        <w:rPr>
          <w:rFonts w:ascii="Times New Roman" w:hAnsi="Times New Roman" w:eastAsia="Times New Roman" w:cs="Times New Roman"/>
          <w:color w:val="000000"/>
          <w:sz w:val="24"/>
        </w:rPr>
        <w:t>), without claiming equivalence. Screened three-round DoE found the better point recipe (</w:t>
      </w:r>
      <w:r>
        <w:rPr>
          <w:rFonts w:ascii="Courier New" w:hAnsi="Courier New" w:eastAsia="Courier New" w:cs="Courier New"/>
          <w:color w:val="000000"/>
          <w:sz w:val="22"/>
        </w:rPr>
        <w:t>+0.1026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SPADE-minus-DoE regret, 95% CI </w:t>
      </w:r>
      <w:r>
        <w:rPr>
          <w:rFonts w:ascii="Courier New" w:hAnsi="Courier New" w:eastAsia="Courier New" w:cs="Courier New"/>
          <w:color w:val="000000"/>
          <w:sz w:val="22"/>
        </w:rPr>
        <w:t>[+0.0486,+0.1578]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2"/>
        </w:rPr>
        <w:t>p=0.0003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), while five-round SPADE’s answered regional decisions showed stronger observed truth containment (66/160 answered, 66/66 contained) than screened DoE (122/160, 85/122) or unscreened DoE (134/160, 77/134). We retain the real-noise ceiling, the later </w:t>
      </w:r>
      <w:r>
        <w:rPr>
          <w:rFonts w:ascii="Courier New" w:hAnsi="Courier New" w:eastAsia="Courier New" w:cs="Courier New"/>
          <w:color w:val="000000"/>
          <w:sz w:val="22"/>
        </w:rPr>
        <w:t>NO_SELECTION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development stop, the unopened lockbox, and the absence of prospective wet-lab validation so “better for the region” cannot be misread as manufacturing qualification. The original posterior certificate checks do not establish empirical or calibration validity.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Reviewer-access materials are at https://github.com/akwnn/nutrigene-ai-bo-ipsec. An archival DOI will be minted upon acceptance or at submission if a Zenodo deposit is completed first.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This manuscript is not under consideration elsewhere. The authors have had no prior interactions with PLOS regarding this work, and there are no related manuscripts or preprints currently under review.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Suggested Academic Editor expertise: Bayesian optimization / Gaussian processes, design of experiments and response-surface methodology, computational statistics or simulation methodology, and bioprocess / formulation development. We have no opposed reviewers.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Both authors have reviewed the manuscript, agreed to the listed CRediT contributions and author order, and approved this submission.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Sincerely,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Alana Wai Han Kwan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Department of Chemical Engineering, Columbia University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11281128alana@gmail.com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60" w:line="240" w:lineRule="auto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40" w:lineRule="auto"/>
      <w:outlineLvl w:val="0"/>
    </w:pPr>
    <w:rPr>
      <w:rFonts w:asciiTheme="majorHAnsi" w:eastAsiaTheme="majorEastAsia" w:hAnsiTheme="majorHAnsi" w:cstheme="majorBidi" w:ascii="Times New Roman" w:hAnsi="Times New Roman"/>
      <w:b/>
      <w:bCs/>
      <w:i w:val="0"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40" w:lineRule="auto"/>
      <w:outlineLvl w:val="1"/>
    </w:pPr>
    <w:rPr>
      <w:rFonts w:asciiTheme="majorHAnsi" w:eastAsiaTheme="majorEastAsia" w:hAnsiTheme="majorHAnsi" w:cstheme="majorBidi" w:ascii="Times New Roman" w:hAnsi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 w:line="240" w:lineRule="auto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</dc:title>
  <dc:subject>PLOS ONE cover letter</dc:subject>
  <dc:creator>python-docx</dc:creator>
  <cp:keywords>SPADE; Bayesian optimization; response-surface methodology; design space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