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SPADE improves operating-region decisions under fixed experimental budgets: a synthetic comparison with Bayesian optimization and response-surface design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Short title: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Fixed-budget operating-region decisions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Kwan¹*, Joseph Yung²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Affiliations: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¹ Department of Chemical Engineering,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² Department of Industrial Engineering and Operations Research,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Corresponding author: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 (11281128alana@gmail.com)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 emails: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Kwan, 11281128alana@gmail.com; Joseph Yung, josephyung33@gmail.com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Abstract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 experimental campaign may need one optimized recipe or a conservative operating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region; these are different decisions. We evaluated SPADE, an assay-oriented integration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established Gaussian-process level-set and conservative-set methods, against noisy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Bayesian optimization (qLogNEI) and a response-surface design of experiments (DoE)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synthetic families under 48-well budgets. Primary matched-round evidence came first: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five rounds, SPADE returned greater certified volume than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dependent family-seed-prevalence cells under leave-one-family-out calibration). Thus SPADE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better for the tested operating-region decision, not universally better. In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one-process point comparison, five-round SPADE showed no detectable regret difference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from ten-round qLogNEI (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>;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), but the interval did not establish equivalence. The adverse DoE result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substantial: screened three-round DoE found the better point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SPADE-minus-DoE regret, 95% CI </w:t>
      </w: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>), while five-round SPADE answered 66/160 regional decisions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contained truth in 66/66, compared with 85/122 and 77/134 contained answers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screened and unscreened DoE. Flat-cell intervals are conditional and dependence may make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them too narrow. Results are limited to the tested synthetic benchmark, moderate noise,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finite grids, and calibration rules; they do not establish regulatory qualification 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Introduction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Cell-culture media, extracellular-matrix composition, and bioprocess parameters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chosen jointly, so even a modest factor grid can exceed a practical assay budget.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Classical response-surface methodology provides screening, sequential movement,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local modelling [1–3]. Bayesian optimization (BO) instead fits a probabilistic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surrogate and allocates observations to improve an objective [4–6]. Both approaches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in biological and bioprocess development [7–12].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decision made after sampling matters as much as the sampling rule. One laboratory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 single carry-forward recipe, appropriately scored by point regret. Another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an operating region: a set of compositions expected to exceed a specification,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 an explicit option to abstain when the evidence is insufficient. A method can find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strong point while learning little about the surrounding region, or map a region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without finding the global optimum. Point regret, map error, answer rate, empirical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containment, and certified volume are therefore distinct estimands.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 estimation is not new. Gaussian-process (GP) level-set classification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boundary-focused batch sampling are established [13], as are conservative excursion-set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estimators based on posterior inclusion [14] and methods such as TruVaR that connect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optimization with level-set learning [15]. qLogNEI is a modern noisy expected-improvement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 [16]. Proper scoring separates probabilistic forecasts from downstream decisions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[17], while BoTorch supplies established computational components [18]. Recent synthetic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batch-BO work further shows that noise and geometry can alter rankings [19], and good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simulation-study practice requires explicit estimands and data-generating scope [20].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is an assay-oriented architecture built from these established ingredients,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new excursion-set theory. It combines a space-filling opening, adaptive high-response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sampling, a common posterior conservative-set estimator that can also score 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observations, and abstention. Its acquisition should not be described as successfully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threshold-targeted: a registered target-aligned variant failed its adoption gate.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scientific question is instead whether this architecture improves the tested regional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decision while honestly retaining point-optimization trade-offs.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report six linked findings. C3 asks whether matched five-round SPADE returns greater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certified volume than qLogNEI. C1 asks whether five-round SPADE differs detectably from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ten-round qLogNEI on point regret. C2 compares regional containment and point regret with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screened and one unscreened response-surface DoE pipeline. C5 and C6 examine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family/prevalence scope. S2 and S3 diagnose real-data posterior collapse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assay-specific calibration. Finally, S1, a real-noise ceiling, and a later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gate define where positive interpretation must stop.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Materials and methods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Study design and evidence roles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confirmatory DC and LC programs used five synthetic response families—Ackley,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Hartmann6, biphasic Hill, Levy, and Rosenbrock—32 deterministic seeds per family,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six normalized factors, 48 measured wells, and relative observation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TAU used 64 seeds per family. Hill varied by registered instance; other evaluators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fixed landscapes with design and noise varying by seed. Known latent truth was used only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synthetic scoring. These landscapes are structural test functions, not fits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endothelial-cell measurements.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latent normalized response </w:t>
      </w:r>
      <m:oMath>
        <m:box>
          <m:e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</w:t>
      </w:r>
      <m:oMath>
        <m:box>
          <m:e>
            <m:r>
              <m:rPr>
                <m:sty m:val="i"/>
              </m:rP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6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the threshold </w:t>
      </w:r>
      <m:oMath>
        <m:box>
          <m:e>
            <m:r>
              <m:rPr>
                <m:sty m:val="i"/>
              </m:rPr>
              <m:t>τ</m:t>
            </m:r>
          </m:e>
        </m:box>
      </m:oMath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the instance-specific truth quantile that produced the registered target prevalence</w:t>
      </w:r>
    </w:p>
    <w:p>
      <w:pPr>
        <w:widowControl/>
      </w:pP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The acceptable region was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Thresholds were computed on a 20,000-point Sobol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grid with seed 0. A 2,000-point Sobol certificate-candidate and scoring subset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the same seed was used for posterior-region construction and truth-containment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scoring. Each certificate used 4,096 joint posterior draws and 64 nested Vorob'ev levels.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DC supplied the one-process point comparison (C1) and DoE comparison (C2). LC supplied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leave-one-family-out matched-round comparison (C3). TAU supplied the prevalence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margin-to-noise analyses (C5/C6). TT tested the proposed targeting mechanism (S1).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 in-house and published Hall–Ogle data supplied supporting uncertainty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diagnostics (S2/S3), not prospective validation.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All synthetic arms used 48 wells. SPADE R3 used </w:t>
      </w:r>
      <w:r>
        <w:rPr>
          <w:rFonts w:ascii="Courier New" w:hAnsi="Courier New" w:eastAsia="Courier New" w:cs="Courier New"/>
          <w:color w:val="000000"/>
          <w:sz w:val="22"/>
        </w:rPr>
        <w:t>32+8+8</w:t>
      </w:r>
      <w:r>
        <w:rPr>
          <w:rFonts w:ascii="Times New Roman" w:hAnsi="Times New Roman" w:eastAsia="Times New Roman" w:cs="Times New Roman"/>
          <w:color w:val="000000"/>
          <w:sz w:val="24"/>
        </w:rPr>
        <w:t>; SPADE R5 used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16+8+8+8+8</w:t>
      </w:r>
      <w:r>
        <w:rPr>
          <w:rFonts w:ascii="Times New Roman" w:hAnsi="Times New Roman" w:eastAsia="Times New Roman" w:cs="Times New Roman"/>
          <w:color w:val="000000"/>
          <w:sz w:val="24"/>
        </w:rPr>
        <w:t>. Matched qLogNEI R3 and R5 used the same respective allocations.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R10 used a 14-point Sobol opening, eight batches of four, and a final batch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two (</w:t>
      </w:r>
      <w:r>
        <w:rPr>
          <w:rFonts w:ascii="Courier New" w:hAnsi="Courier New" w:eastAsia="Courier New" w:cs="Courier New"/>
          <w:color w:val="000000"/>
          <w:sz w:val="22"/>
        </w:rPr>
        <w:t>14+4+4+4+4+4+4+4+4+2</w:t>
      </w:r>
      <w:r>
        <w:rPr>
          <w:rFonts w:ascii="Times New Roman" w:hAnsi="Times New Roman" w:eastAsia="Times New Roman" w:cs="Times New Roman"/>
          <w:color w:val="000000"/>
          <w:sz w:val="24"/>
        </w:rPr>
        <w:t>). The screened DoE R3 workflow used a 20-run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six-factor screen, a 27-run four-factor face-centred response-surface design, and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confirmation well (</w:t>
      </w:r>
      <w:r>
        <w:rPr>
          <w:rFonts w:ascii="Courier New" w:hAnsi="Courier New" w:eastAsia="Courier New" w:cs="Courier New"/>
          <w:color w:val="000000"/>
          <w:sz w:val="22"/>
        </w:rPr>
        <w:t>20+27+1</w:t>
      </w:r>
      <w:r>
        <w:rPr>
          <w:rFonts w:ascii="Times New Roman" w:hAnsi="Times New Roman" w:eastAsia="Times New Roman" w:cs="Times New Roman"/>
          <w:color w:val="000000"/>
          <w:sz w:val="24"/>
        </w:rPr>
        <w:t>). The registered unscreened comparator omitted screening,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one 47-run full-dimensional face-centred central-composite design, and measured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confirmation (</w:t>
      </w:r>
      <w:r>
        <w:rPr>
          <w:rFonts w:ascii="Courier New" w:hAnsi="Courier New" w:eastAsia="Courier New" w:cs="Courier New"/>
          <w:color w:val="000000"/>
          <w:sz w:val="22"/>
        </w:rPr>
        <w:t>47+1</w:t>
      </w:r>
      <w:r>
        <w:rPr>
          <w:rFonts w:ascii="Times New Roman" w:hAnsi="Times New Roman" w:eastAsia="Times New Roman" w:cs="Times New Roman"/>
          <w:color w:val="000000"/>
          <w:sz w:val="24"/>
        </w:rPr>
        <w:t>); it retained the protocol's DoE R3 comparator label even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though its executed measurements comprise design and confirmation stages. Equal wells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therefore did not mean equal sequential rounds.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228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228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1. Method selection under a fixed 48-well budget. Choose SPADE when the campaign must return a trusted operating region with honest abstention. Choose a point optimizer (DoE or BO) when only one carry-forward recipe is required. Under very high assay-like noise, abstain and replicate rather than claiming a region.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48-well campaign. (B) The same sampled campaign supports a point decision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 a region decision, including abstention. (C) The estimand ledger distinguishes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reported object, observability, score, extra wells, and rounds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deliverable. This schematic defines the benchmark and contains no performance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architecture and comparators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 followed</w:t>
      </w:r>
    </w:p>
    <w:p>
      <w:pPr>
        <w:widowControl/>
      </w:pPr>
      <m:oMath>
        <m:box>
          <m:e>
            <m:r>
              <m:rPr>
                <m:sty m:val="i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ϵ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η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with</w:t>
      </w:r>
    </w:p>
    <w:p>
      <w:pPr>
        <w:widowControl/>
      </w:pPr>
      <m:oMath>
        <m:box>
          <m:e>
            <m:r>
              <m:rPr>
                <m:sty m:val="i"/>
              </m:rPr>
              <m:t>ϵ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and</w:t>
      </w:r>
    </w:p>
    <w:p>
      <w:pPr>
        <w:widowControl/>
      </w:pPr>
      <m:oMath>
        <m:box>
          <m:e>
            <m:r>
              <m:rPr>
                <m:sty m:val="i"/>
              </m:rPr>
              <m:t>η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SPADE and qLogNEI supplied the GP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raw-unit plug-in variance</w:t>
      </w:r>
    </w:p>
    <w:p>
      <w:pPr>
        <w:widowControl/>
      </w:pPr>
      <m:oMath>
        <m:box>
          <m:e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i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computed from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value rather than latent truth. The DoE adapters lacked per-well variances and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their registered arm-constant plug-in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sSup>
              <m:e>
                <m:limUpp>
                  <m:e>
                    <m:box>
                      <m:e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i"/>
                          </m:rP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e>
                    </m:box>
                  </m:e>
                  <m:lim>
                    <m:r>
                      <m:rPr>
                        <m:sty m:val="p"/>
                      </m:rPr>
                      <m:t>―</m:t>
                    </m:r>
                  </m:lim>
                </m:limUpp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common outcome model was a fixed-noise </w:t>
      </w:r>
      <w:r>
        <w:rPr>
          <w:rFonts w:ascii="Courier New" w:hAnsi="Courier New" w:eastAsia="Courier New" w:cs="Courier New"/>
          <w:color w:val="000000"/>
          <w:sz w:val="22"/>
        </w:rPr>
        <w:t>SingleTaskGP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 explicit unit-box input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normalization, standardized outcomes, a fitted constant mean, and a scaled Matérn-5/2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kernel with automatic relevance determination and a dimension-scaled length-scale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prior. Hyperparameters were fitted by exact marginal likelihood. SPADE began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Sobol space-filling opening, refitted after every later batch, and used its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straddle implementation for adaptive high-response sampling.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implemented historical acquisition is retained because the target-aligned replacement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did not demonstrate improvement or earn adoption and worsened regret; no claim here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attributes the results to successful threshold targeting.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posterior draw </w:t>
      </w:r>
      <m:oMath>
        <m:box>
          <m:e>
            <m:r>
              <m:rPr>
                <m:sty m:val="i"/>
              </m:rPr>
              <m:t>b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finite-grid excursion set was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sSup>
              <m:e>
                <m:r>
                  <m:rPr>
                    <m:sty m:val="i"/>
                  </m:rPr>
                  <m:t>f</m:t>
                </m:r>
              </m:e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p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the 2,000-point scoring grid.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4,096 draws formed a coverage function and 64 nested Vorob'ev candidates.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inflation </w:t>
      </w:r>
      <m:oMath>
        <m:box>
          <m:e>
            <m:r>
              <m:rPr>
                <m:sty m:val="i"/>
              </m:rPr>
              <m:t>c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1.0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2.0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3.0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common downstream estimator returned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largest scanned candidate whose same-draw Monte Carlo posterior joint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reached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>. “Largest” means largest in that finite nested family, not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global optimum over all continuous subsets. If no non-empty candidate passed,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procedure abstained.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used the same GP outcome model and well budget while allocating batches by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noisy expected improvement. Its observations were passed through the common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estimator; regional certificates are therefore common post-processing,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an intrinsic qLogNEI output. Screened DoE used a 20-run six-factor screen, a 27-run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face-centred response-surface design in four factors, and one confirmation well.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unscreened arm retained the low-order workflow without screening. These implementations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 not represent all BO or classical-design methods.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Outcomes and calibration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terminal point recommendation was the visited condition with the largest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response; it was then scored by latent truth. Because each family was normalized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optimum one, simple regret was </w:t>
      </w:r>
      <m:oMath>
        <m:box>
          <m:e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limUpp>
              <m:e>
                <m:r>
                  <m:rPr>
                    <m:sty m:val="i"/>
                  </m:rPr>
                  <m:t>x</m:t>
                </m:r>
              </m:e>
              <m:lim>
                <m:r>
                  <m:rPr>
                    <m:sty m:val="p"/>
                  </m:rPr>
                  <m:t>^</m:t>
                </m:r>
              </m:lim>
            </m:limUp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This prevents crediting a method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visiting a strong point that its noisy observations did not identify.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regional </w:t>
      </w:r>
      <w:r>
        <w:rPr>
          <w:rFonts w:ascii="Courier New" w:hAnsi="Courier New" w:eastAsia="Courier New" w:cs="Courier New"/>
          <w:color w:val="000000"/>
          <w:sz w:val="22"/>
        </w:rPr>
        <w:t>answered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outcome was a non-empty returned conservative set. </w:t>
      </w:r>
      <w:r>
        <w:rPr>
          <w:rFonts w:ascii="Courier New" w:hAnsi="Courier New" w:eastAsia="Courier New" w:cs="Courier New"/>
          <w:color w:val="000000"/>
          <w:sz w:val="22"/>
        </w:rPr>
        <w:t>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recorded whether an answered set was a subset of the known synthetic acceptable region;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answer rate was answered divided by eligible cells, conditional empirical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contained divided by answered, and certified volume was the returned fraction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2,000-point scoring grid. Abstention was not counted as containment.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cross-cell gate required a one-sided 95% Clopper–Pearson lower bound of at least 0.90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among answered cells and answer rate of at least 0.05.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C3 selected the smallest posterior inflation </w:t>
      </w:r>
      <w:r>
        <w:rPr>
          <w:rFonts w:ascii="Courier New" w:hAnsi="Courier New" w:eastAsia="Courier New" w:cs="Courier New"/>
          <w:color w:val="000000"/>
          <w:sz w:val="22"/>
        </w:rPr>
        <w:t>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that passed the registered rule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four families and evaluated volume on the held-out fifth family. It pooled prevalence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0.30 and 0.10, yielding five families x 32 seeds x two prevalences = 320 dependent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family-seed-prevalence cells. C2 used a weaker procedure: 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DC cells themselves. Neither DoE arm passed at any tested inflation, so its reported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counts are fallback diagnostics at baseline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>. C2 is within-sample and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transportable; it is not the held-out-family calibration used for C3.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Earlier prospective map scoring used a fixed 0.50 cutoff. Its archived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count is a posterior self-consistency check, not empirical containment against the oracle.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retrospective terminal-rule comparison also used a common GP for all arms: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20,000-point screen, twenty restarts and 4,096 raw starts. Earlier quadratic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response-surface diagnostics are separate and are not substituted for that recommender.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Statistical analysis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were paired by family and seed or by family, seed, and prevalence. Frozen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analysers used 8,000 ordinary nonparametric resamples of flat contrast rows, percentile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intervals, and two-sided bootstrap tail-area proportions relative to zero.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flat-cell bootstrap treats cells as exchangeable. Because rows can share families,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landscapes, seeds, prevalences, and campaigns, its intervals are conditional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summaries and may be too narrow under dependence; cells are not independent campaigns.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Pooled Clopper–Pearson bounds similarly assume an ordinary binomial model.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regret smallest effect of interest was 0.02. An interval extending beyond that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 was not interpreted as equivalence. The C5 Spearman coefficient is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over 25 nested, nonexchangeable family-prevalence cells; no naive independence-based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p-value is interpreted.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Reproducibility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Analyses used Python 3.11 with PyTorch, GPyTorch, BoTorch, NumPy, SciPy, pandas,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scikit-learn. Frozen inputs, producing commands, exact estimates, guard coverage,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limitations are indexed in </w:t>
      </w: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The active PLOS source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remains in this repository. Consolidated C1–C6/S1 provenance is pinned to repository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commit </w:t>
      </w:r>
      <w:r>
        <w:rPr>
          <w:rFonts w:ascii="Courier New" w:hAnsi="Courier New" w:eastAsia="Courier New" w:cs="Courier New"/>
          <w:color w:val="000000"/>
          <w:sz w:val="22"/>
        </w:rPr>
        <w:t>ec14bc7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the ledger gives portable </w:t>
      </w:r>
      <w:r>
        <w:rPr>
          <w:rFonts w:ascii="Courier New" w:hAnsi="Courier New" w:eastAsia="Courier New" w:cs="Courier New"/>
          <w:color w:val="000000"/>
          <w:sz w:val="22"/>
        </w:rPr>
        <w:t>git 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detached-worktree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instructions. No frozen result was changed for this rewrite.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Artificial intelligence assistance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OpenAI Codex (GPT-based coding assistant) assisted with manuscript drafting and revision,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source-code inspection, figure-generation scripts, and document formatting. The authors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reviewed and edited all AI-assisted text and take responsibility for the scientific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interpretation, references, code, figures, and reported results. No generative AI system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used to create experimental data.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Matched five-round SPADE returned greater certified 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 states the local certification dimensions for C3. Under registered LOFO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calibration, five-round SPADE returned greater certified volume than five-round qLogNEI: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SPADE-minus-qLogNEI difference was 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dependent cells).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is the primary result supporting SPADE for the tested operating-region decision.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does not establish a universal method ranking. The analogous positive three-round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claim was withdrawn after extension to 32 seeds.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328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328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2. SPADE’s primary advantage: trusted operating regions. (A) Certified-volume difference (SPADE minus qLogNEI) at matched five rounds under leave-one-family-out calibration: +0.000855 (95% CI [+0.000691, +0.001028], p&lt;0.0001, n=320); absolute means are noted under the panel. (B) Observed truth containment among answered regions at prevalence 0.30: SPADE 66/66 versus screened DoE 85/122 and unscreened DoE 77/134.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1. C3 matched-round regional comparison.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 w:val="true"/>
        </w:trPr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Noise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Assurance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Calibration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Seeds and denominator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synthetic families; SPADE vs qLogNEI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 and 0.10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0.95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LOFO inflation over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c={1,1.5,2,3}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 vs R5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32/family; 320 dependent family-seed-prevalence cells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Volume difference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+0.000855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Point regret showed no detectable difference from longer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DC, SPADE R5 minus qLogNEI R10 regret was 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, five families x 32 seeds).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used 48 wells. This is no detectable regret difference, not equivalence: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extends slightly beyond the registered +/-0.02 effect boundary, and neither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calendar duration nor cost was measured.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833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3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3. Point-recipe trade-off (secondary to the region decision). (A) SPADE at five rounds minus qLogNEI at ten rounds on simple regret: no detectable difference (−0.0005, 95% CI [−0.0221, +0.0207], n=160); not claimed as equivalence. (B) SPADE at five rounds minus screened DoE at three rounds: DoE finds the better single recipe (+0.1026, 95% CI [+0.0486, +0.1578]); expected when the goal is one point rather than a region.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DoE found a better point recipe but weaker regional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adverse point result is essential: screened DoE found the better point recipe 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three rounds. SPADE R5 minus screened-DoE R3 regret was 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). SPADE used five rounds.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Regional evidence moved in the opposite direction (Table 2). At prevalence </w:t>
      </w:r>
      <w:r>
        <w:rPr>
          <w:rFonts w:ascii="Courier New" w:hAnsi="Courier New" w:eastAsia="Courier New" w:cs="Courier New"/>
          <w:color w:val="000000"/>
          <w:sz w:val="22"/>
        </w:rPr>
        <w:t>0.30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assurance </w:t>
      </w:r>
      <w:r>
        <w:rPr>
          <w:rFonts w:ascii="Courier New" w:hAnsi="Courier New" w:eastAsia="Courier New" w:cs="Courier New"/>
          <w:color w:val="000000"/>
          <w:sz w:val="22"/>
        </w:rPr>
        <w:t>0.95</w:t>
      </w:r>
      <w:r>
        <w:rPr>
          <w:rFonts w:ascii="Times New Roman" w:hAnsi="Times New Roman" w:eastAsia="Times New Roman" w:cs="Times New Roman"/>
          <w:color w:val="000000"/>
          <w:sz w:val="24"/>
        </w:rPr>
        <w:t>, 48 wells, and five families x 32 seeds,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 the same DC sample, answered 66/160, and contained truth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66/66 answered regions (observed conditional containment </w:t>
      </w:r>
      <w:r>
        <w:rPr>
          <w:rFonts w:ascii="Courier New" w:hAnsi="Courier New" w:eastAsia="Courier New" w:cs="Courier New"/>
          <w:color w:val="000000"/>
          <w:sz w:val="22"/>
        </w:rPr>
        <w:t>1.0000</w:t>
      </w:r>
      <w:r>
        <w:rPr>
          <w:rFonts w:ascii="Times New Roman" w:hAnsi="Times New Roman" w:eastAsia="Times New Roman" w:cs="Times New Roman"/>
          <w:color w:val="000000"/>
          <w:sz w:val="24"/>
        </w:rPr>
        <w:t>,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binomial lower bound </w:t>
      </w:r>
      <w:r>
        <w:rPr>
          <w:rFonts w:ascii="Courier New" w:hAnsi="Courier New" w:eastAsia="Courier New" w:cs="Courier New"/>
          <w:color w:val="000000"/>
          <w:sz w:val="22"/>
        </w:rPr>
        <w:t>0.9556</w:t>
      </w:r>
      <w:r>
        <w:rPr>
          <w:rFonts w:ascii="Times New Roman" w:hAnsi="Times New Roman" w:eastAsia="Times New Roman" w:cs="Times New Roman"/>
          <w:color w:val="000000"/>
          <w:sz w:val="24"/>
        </w:rPr>
        <w:t>). Neither DoE arm passed at any inflation, so baseline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diagnostics are reported: screened DoE answered 122/160 and contained 85/122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0.6967</w:t>
      </w:r>
      <w:r>
        <w:rPr>
          <w:rFonts w:ascii="Times New Roman" w:hAnsi="Times New Roman" w:eastAsia="Times New Roman" w:cs="Times New Roman"/>
          <w:color w:val="000000"/>
          <w:sz w:val="24"/>
        </w:rPr>
        <w:t>); unscreened DoE answered 134/160 and contained 77/134 (</w:t>
      </w:r>
      <w:r>
        <w:rPr>
          <w:rFonts w:ascii="Courier New" w:hAnsi="Courier New" w:eastAsia="Courier New" w:cs="Courier New"/>
          <w:color w:val="000000"/>
          <w:sz w:val="22"/>
        </w:rPr>
        <w:t>0.5746</w:t>
      </w:r>
      <w:r>
        <w:rPr>
          <w:rFonts w:ascii="Times New Roman" w:hAnsi="Times New Roman" w:eastAsia="Times New Roman" w:cs="Times New Roman"/>
          <w:color w:val="000000"/>
          <w:sz w:val="24"/>
        </w:rPr>
        <w:t>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within-sample descriptive results do not condemn DoE as a class or establish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 coverage.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2. C2 regional answers and point trade-off.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cantSplit/>
          <w:tblHeader w:val="true"/>
        </w:trPr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Arm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Prevalence; noise; assurance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rounds; seeds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Inflation rule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Answered</w:t>
            </w:r>
          </w:p>
        </w:tc>
        <w:tc>
          <w:tcPr>
            <w:tcW w:type="dxa" w:w="1338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Contained among answers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SPADE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Within-DC selected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66/66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122/160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85/122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Unscreened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134/160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77/134</w:t>
            </w:r>
          </w:p>
        </w:tc>
      </w:tr>
    </w:tbl>
    <w:p>
      <w:pPr>
        <w:spacing w:after="40"/>
      </w:pP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3733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37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4. Additional locked SPADE evidence. (A) At three rounds SPADE has lower regret than one-shot Latin hypercube sampling (SPADE−LHS −0.0783; shown as positive SPADE advantage). (B) On the biology-shaped Hill family at prevalence 0.70, SPADE answers 40/64 trusted regions versus 27/64 for qLogNEI; both arms contain truth in every answered cell.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Certifiability depended on family, prevalence, and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Across five families and prevalences 0.70, 0.50, 0.30, 0.20, and 0.10, SPADE answer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rate at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48 wells, R5, 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, and 64 seeds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 was descriptively associated with mean seed-specific true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(Spearman rho </w:t>
      </w:r>
      <w:r>
        <w:rPr>
          <w:rFonts w:ascii="Courier New" w:hAnsi="Courier New" w:eastAsia="Courier New" w:cs="Courier New"/>
          <w:color w:val="000000"/>
          <w:sz w:val="22"/>
        </w:rPr>
        <w:t>0.9880098603391883</w:t>
      </w:r>
      <w:r>
        <w:rPr>
          <w:rFonts w:ascii="Times New Roman" w:hAnsi="Times New Roman" w:eastAsia="Times New Roman" w:cs="Times New Roman"/>
          <w:color w:val="000000"/>
          <w:sz w:val="24"/>
        </w:rPr>
        <w:t>; 25 nested family-prevalence cells). The diagnostic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latent truth and is explanatory, not available prospectively. Shared families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ordered prevalences make the cells dependent and nonexchangeable.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the biology-shaped but synthetic Hill family at prevalence </w:t>
      </w:r>
      <w:r>
        <w:rPr>
          <w:rFonts w:ascii="Courier New" w:hAnsi="Courier New" w:eastAsia="Courier New" w:cs="Courier New"/>
          <w:color w:val="000000"/>
          <w:sz w:val="22"/>
        </w:rPr>
        <w:t>0.70</w:t>
      </w:r>
      <w:r>
        <w:rPr>
          <w:rFonts w:ascii="Times New Roman" w:hAnsi="Times New Roman" w:eastAsia="Times New Roman" w:cs="Times New Roman"/>
          <w:color w:val="000000"/>
          <w:sz w:val="24"/>
        </w:rPr>
        <w:t>, under those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same settings, SPADE answered 40/64 and contained truth in 40/40 (ordinary-binomial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lower bound </w:t>
      </w:r>
      <w:r>
        <w:rPr>
          <w:rFonts w:ascii="Courier New" w:hAnsi="Courier New" w:eastAsia="Courier New" w:cs="Courier New"/>
          <w:color w:val="000000"/>
          <w:sz w:val="22"/>
        </w:rPr>
        <w:t>0.9278</w:t>
      </w:r>
      <w:r>
        <w:rPr>
          <w:rFonts w:ascii="Times New Roman" w:hAnsi="Times New Roman" w:eastAsia="Times New Roman" w:cs="Times New Roman"/>
          <w:color w:val="000000"/>
          <w:sz w:val="24"/>
        </w:rPr>
        <w:t>). qLogNEI answered 27/64 and contained 27/27; its limitation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answer count required by the registered gate, not failure to return 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 marginalisation diagnosed real-data posterior collapse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Treating the fitted GP mean as fixed had little effect in synthetic diagnostics: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mean-marginalised posterior width increased by </w:t>
      </w:r>
      <w:r>
        <w:rPr>
          <w:rFonts w:ascii="Courier New" w:hAnsi="Courier New" w:eastAsia="Courier New" w:cs="Courier New"/>
          <w:color w:val="000000"/>
          <w:sz w:val="22"/>
        </w:rPr>
        <w:t>1.004x–1.011x</w:t>
      </w:r>
      <w:r>
        <w:rPr>
          <w:rFonts w:ascii="Times New Roman" w:hAnsi="Times New Roman" w:eastAsia="Times New Roman" w:cs="Times New Roman"/>
          <w:color w:val="000000"/>
          <w:sz w:val="24"/>
        </w:rPr>
        <w:t>. The same correction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increased mean posterior marginal SD approximately </w:t>
      </w:r>
      <w:r>
        <w:rPr>
          <w:rFonts w:ascii="Courier New" w:hAnsi="Courier New" w:eastAsia="Courier New" w:cs="Courier New"/>
          <w:color w:val="000000"/>
          <w:sz w:val="22"/>
        </w:rPr>
        <w:t>484x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the in-house candidate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dataset and </w:t>
      </w:r>
      <w:r>
        <w:rPr>
          <w:rFonts w:ascii="Courier New" w:hAnsi="Courier New" w:eastAsia="Courier New" w:cs="Courier New"/>
          <w:color w:val="000000"/>
          <w:sz w:val="22"/>
        </w:rPr>
        <w:t>297x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published Hall–Ogle data. Observation-prediction LOO inflation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assay-specific (</w:t>
      </w:r>
      <w:r>
        <w:rPr>
          <w:rFonts w:ascii="Courier New" w:hAnsi="Courier New" w:eastAsia="Courier New" w:cs="Courier New"/>
          <w:color w:val="000000"/>
          <w:sz w:val="22"/>
        </w:rPr>
        <w:t>c=0.712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in-house and </w:t>
      </w:r>
      <w:r>
        <w:rPr>
          <w:rFonts w:ascii="Courier New" w:hAnsi="Courier New" w:eastAsia="Courier New" w:cs="Courier New"/>
          <w:color w:val="000000"/>
          <w:sz w:val="22"/>
        </w:rPr>
        <w:t>c=0.526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published). These S2/S3 values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retrospective, stdout-reproduced support without structured numerical guards. LOO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prediction does not identify latent-function uncertainty, and the in-house CD31 gates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remain </w:t>
      </w:r>
      <w:r>
        <w:rPr>
          <w:rFonts w:ascii="Courier New" w:hAnsi="Courier New" w:eastAsia="Courier New" w:cs="Courier New"/>
          <w:color w:val="000000"/>
          <w:sz w:val="22"/>
        </w:rPr>
        <w:t>awaiting_human_signoff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Failed targeting, the real-noise ceiling, and the unopened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target-aligned acquisition did not earn adoption. Relative to committed SPADE, its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certified-volume change was </w:t>
      </w:r>
      <w:r>
        <w:rPr>
          <w:rFonts w:ascii="Courier New" w:hAnsi="Courier New" w:eastAsia="Courier New" w:cs="Courier New"/>
          <w:color w:val="000000"/>
          <w:sz w:val="22"/>
        </w:rPr>
        <w:t>+0.000425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[-0.000022,+0.000875]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and its regret was worse by </w:t>
      </w:r>
      <w:r>
        <w:rPr>
          <w:rFonts w:ascii="Courier New" w:hAnsi="Courier New" w:eastAsia="Courier New" w:cs="Courier New"/>
          <w:color w:val="000000"/>
          <w:sz w:val="22"/>
        </w:rPr>
        <w:t>+0.0301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(95% CI </w:t>
      </w:r>
      <w:r>
        <w:rPr>
          <w:rFonts w:ascii="Courier New" w:hAnsi="Courier New" w:eastAsia="Courier New" w:cs="Courier New"/>
          <w:color w:val="000000"/>
          <w:sz w:val="22"/>
        </w:rPr>
        <w:t>[+0.0169,+0.0450]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>). Family effects cancelled. This failure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why SPADE's value is described architecturally rather than as a successful targeting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mechanism.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measured real-assay relative noise 0.68, no tested arm certified. Replication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independent noise identification are therefore prerequisites for prospective use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noise level.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later future-response development grid evaluated nine candidate protocols on five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families. Table 3 reports its preserved ranges; every candidate missed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containment floor on at least one family. The selector returned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power artifact was authorized, and the lockbox remained </w:t>
      </w:r>
      <w:r>
        <w:rPr>
          <w:rFonts w:ascii="Courier New" w:hAnsi="Courier New" w:eastAsia="Courier New" w:cs="Courier New"/>
          <w:color w:val="000000"/>
          <w:sz w:val="22"/>
        </w:rPr>
        <w:t>FROZEN_UNOPENED</w:t>
      </w:r>
      <w:r>
        <w:rPr>
          <w:rFonts w:ascii="Times New Roman" w:hAnsi="Times New Roman" w:eastAsia="Times New Roman" w:cs="Times New Roman"/>
          <w:color w:val="000000"/>
          <w:sz w:val="24"/>
        </w:rPr>
        <w:t>. No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evidence was opened.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3. Joint-protocol development ranges across nine candidates.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Family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 count range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Empirical containment range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Hill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49–50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0.140–0.490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Ackley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0.320–0.820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Hartmann6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0.440–0.940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47–49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0.213–0.333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Rosenbrock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0.061–0.320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Discussion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primary conclusion is decision-specific. At five matched rounds, SPADE produced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greater certified volume than qLogNEI under registered LOFO calibration. In the DC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 its answered regions also had stronger observed truth containment than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tested DoE pipelines. Those findings support SPADE when the requested deliverable is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 operating region and abstention is acceptable.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They do not support a universal ranking. The qLogNEI point comparison showed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detectable difference and did not establish equivalence. Screened DoE found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substantially better point recipe in fewer rounds. A laboratory requiring one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rationally prefer a point optimizer; a laboratory requiring a region faces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different loss function.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contribution is integration and evidence, not theoretical priority. GP level-set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learning, Vorob'ev summaries, simultaneous posterior inclusion, and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excursion sets are established. SPADE adapts them to a fixed-well assay architecture,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common regional post-processing across comparator observations, and permits an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empty answer. The failed target-alignment experiment prevents attributing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regional result to successful threshold targeting.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Scope and limitations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All comparative landscapes were synthetic, the domain was evaluated on finite grids,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 headline noise was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 Families, seeds, target prevalences, kernels, acquisition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implementations, and one 48-well budget bound the result. The tested DoE is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response-surface pipeline and qLogNEI is one BO acquisition.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Inference is conditional on the frozen benchmark. The flat-cell bootstrap may be too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narrow because repeated family-seed-prevalence cells are dependent. Pooled 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bounds do not become cluster-aware merely because they are exact under an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Bernoulli model. C2 calibration is within-sample; only C3 holds a family out during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inflation selection. Neither procedure supplies distribution-free or regulatory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coverage.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real-data analyses are retrospective diagnostics. They do not establish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equivalence, manufacturing qualification, regulatory validation, or prospective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performance. The relative-noise ceiling, unsigned in-house gates, missing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replicate-tube noise identification, joint-protocol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and unopened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lockbox preclude such claims.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Relationship to published and retained evidence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4 situates the contribution. Physical and biological optimization studies provide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relevance but usually answer different budget and decision questions.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Methodological papers supply the level-set and conservative-set foundations.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present simulation offers known truth but no biological validation.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4. Selected precedents and scope.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Evidence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Decision or method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Relationship to this study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Hall, Lin, and Ogle [7]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Experimental-design study of extracellular matrix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Published assay-shape support; not a SPADE campaign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Rummukainen et al. [8]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Physical DoE and adaptive optimization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Wet-process evidence with a different budget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Lapierre et al. [9]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Multicycle BO and two-step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Biological growth outcome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Gotovos et al. [13]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Level-set classification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level-set precedent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Azzimonti et al. [14]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Conservative excursion sets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Close estimator antecedent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Bogunovic et al. [15]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TruVaR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Optimization/level-set connection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Present study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Point and conservative-region decisions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Fixed-well synthetic comparison with abstention</w:t>
            </w:r>
          </w:p>
        </w:tc>
      </w:tr>
    </w:tbl>
    <w:p>
      <w:pPr>
        <w:spacing w:after="40"/>
      </w:pP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5. Contribution and novelty boundary.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Element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Classification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Present contribution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GP excursion sets, boundary learning, Vorob'ev candidates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Integrated, not claimed as new theory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qLogNEI and response-surface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comparator ingredients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Implemented as specific fixed-budget pipelines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Per-well variances, round schedules, empty answer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Assay-oriented adaptation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Operational SPADE architecture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Common conservative-region estimator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Comparative-design choice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Separates observations from regional post-processing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Regret, volume, answers, and truth containment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Empirical evidence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Bounded to named synthetic settings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Conclusions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performed better for the tested operating-region decision: at matched five rounds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returned greater certified volume than qLogNEI, and its answered DC regions had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stronger observed containment than the tested DoE pipelines. That regional conclusion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coexists with no detectable point-regret difference from longer qLogNEI, an interval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did not establish equivalence, and a clear adverse result in which three-round DoE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found a better point recipe than five-round SPADE.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Choose SPADE when a moderate-noise, fixed-well campaign must return a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operating region and may abstain; choose a point optimizer when only one recipe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required. These computational results do not establish recipe equivalence,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manufacturing qualification, regulatory validation, or 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Data availability statement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Primary result files, analysis scripts, protocols, and supporting tables are available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the project repository at https://github.com/akwnn/nutrigene-ai-bo-ipsec. Original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software is released under the MIT License; original research materials (manuscript,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figures, synthetic datasets, and retained results) are released under CC BY 4.0 (see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LICENSE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LICENSE-CONTENT.md</w:t>
      </w:r>
      <w:r>
        <w:rPr>
          <w:rFonts w:ascii="Times New Roman" w:hAnsi="Times New Roman" w:eastAsia="Times New Roman" w:cs="Times New Roman"/>
          <w:color w:val="000000"/>
          <w:sz w:val="24"/>
        </w:rPr>
        <w:t>). Audited reproduction paths are indexed in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A DOI-bearing archival deposit remains pending;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repository is the current source of the materials described here.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Author contributions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Alana Wai Han Kwan: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Formal analysis; Investigation; Methodology;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Project administration; Validation; Visualization; Writing – original draft; Writing –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Joseph Yung: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Data curation; Formal analysis; Investigation;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Methodology; Software; Validation; Writing – 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Roles follow the CRediT taxonomy.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Acknowledgments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thank the Obermeyer Research Group at Columbia University for research context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multicomponent formulation design. Computational experiments used synthetic landscapes;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 wet-lab samples were generated for this study.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References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1. Box GEP, Wilson KB. On the experimental attainment of optimum conditions. J R Stat Soc Series B Stat Methodol. 1951;13:1–38. doi:10.1111/j.2517-6161.1951.tb00067.x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2. Box GEP, Draper NR. Empirical model-building and response surfaces. New York: Wiley; 1987.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3. Myers RH, Montgomery DC, Anderson-Cook CM. Response surface methodology: Process and product optimization using designed experiments. 4th ed. Hoboken: Wiley; 2016.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4. Močkus J. On Bayesian methods for seeking the extremum. In: Marchuk GI, editor. Optimization techniques IFIP Technical Conference. Berlin: Springer; 1975. p. 400–404. doi:10.1007/3-540-07165-2_55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5. Jones DR, Schonlau M, Welch WJ. Efficient global optimization of expensive black-box functions. J Glob Optim. 1998;13:455–492. doi:10.1023/A:1008306431147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6. Frazier PI. A tutorial on Bayesian optimization. arXiv:1807.02811 [Preprint]. 2018 [cited 2026 Aug 26]. Available from: https://arxiv.org/abs/1807.02811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7. Hall ML, Lin W-H, Ogle BM. Optimizing extracellular matrix for endothelial differentiation using a design of experiments approach. Sci Rep. 2025;15:24479. doi:10.1038/s41598-025-09256-9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8. Rummukainen H, Hörhammer H, Kuusela P, Kilpi J, Sirviö J, Mäkelä M. Traditional or adaptive design of experiments? A pilot-scale comparison on wood delignification. Heliyon. 2024;10:e24484. doi:10.1016/j.heliyon.2024.e24484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9. Lapierre F, Mattaliano P, Raith D, Castillo-Cota M, Bermeitinger J, Huber R. Multi-cycle high-throughput growth media optimization using batch Bayesian optimization. J Chem Technol Biotechnol. 2025;100:1571–1583. doi:10.1002/jctb.7860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10. Ndahiro N, Ma E, Bertalan T, Donohue M, Kevrekidis Y, Betenbaugh M. Integration of Bayesian optimization and solution thermodynamics to optimize media design for mammalian biomanufacturing. iScience. 2025;28:112944. doi:10.1016/j.isci.2025.112944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11. Narayanan H, Hinckley JA, Barry R, Dang B, Wolffe LA, Atari A, Tseng Y-Y, Love JC. Accelerating cell culture media development using Bayesian optimization-based iterative experimental design. Nat Commun. 2025;16:6055. doi:10.1038/s41467-025-61113-5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12. Gisperg F, Klausser R, Elshazly M, Kopp J, Přáda Brichtová E, Spadiut O. Bayesian optimization in bioprocess engineering—Where do we stand today? Biotechnol Bioeng. 2025;122:1313–1325. doi:10.1002/bit.28960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13. Gotovos A, Casati N, Hitz G, Krause A. Active learning for level set estimation. Proceedings of the Twenty-Third International Joint Conference on Artificial Intelligence. 2013. Available from: https://people.csail.mit.edu/alkisg/files/gotovos13active.pdf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14. Azzimonti D, Ginsbourger D, Chevalier C, Bect J, Richet Y. Adaptive design of experiments for conservative estimation of excursion sets. Technometrics. 2021;63:13–26. doi:10.1080/00401706.2019.1693427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15. Bogunovic I, Scarlett J, Krause A, Cevher V. Truncated variance reduction: A unified approach to Bayesian optimization and level-set estimation. Advances in Neural Information Processing Systems. 2016;29. Available from: https://papers.neurips.cc/paper_files/paper/2016/hash/ce78d1da254c0843eb23951ae077ff5f-Abstract.html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16. Ament S, Daulton S, Eriksson D, Balandat M, Bakshy E. Unexpected improvements to expected improvement for Bayesian optimization. Advances in Neural Information Processing Systems. 2023;36. Available from: https://proceedings.neurips.cc/paper_files/paper/2023/hash/419f72cbd568ad62183f8132a3605a2a-Abstract-Conference.html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17. Gneiting T, Raftery AE. Strictly proper scoring rules, prediction, and estimation. J Am Stat Assoc. 2007;102:359–378. doi:10.1198/016214506000001437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18. Balandat M, Karrer B, Jiang D, Daulton S, Letham B, Wilson AG, et al. BoTorch: A framework for efficient Monte-Carlo Bayesian optimization. Advances in Neural Information Processing Systems. 2020;33. Available from: https://proceedings.neurips.cc/paper/2020/hash/f5b1b89d98b7286673128a5fb112cb9a-Abstract.html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19. Mia I, Tiihonen A, Ernst A, Srivastava A, Buonassisi T, Vandenberghe W, et al. Multi-variable batch Bayesian optimization in materials research: Synthetic data analysis of noise sensitivity and problem landscape effects. J Mater Res. 2026;41:927–948. doi:10.1557/s43578-026-01803-y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20. Morris TP, White IR, Crowther MJ. Using simulation studies to evaluate statistical methods. Stat Med. 2019;38:2074–2102. doi:10.1002/sim.8086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Supporting information captions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Main text Figures 1–4 follow the region-first presentation: method selection (Fig 1),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SPADE’s certified-volume and containment advantage (Fig 2), the secondary point-recipe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trade-off (Fig 3), and additional locked SPADE evidence C4/C6 (Fig 4). Numeric sources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are in </w:t>
      </w:r>
      <w:r>
        <w:rPr>
          <w:rFonts w:ascii="Courier New" w:hAnsi="Courier New" w:eastAsia="Courier New" w:cs="Courier New"/>
          <w:color w:val="000000"/>
          <w:sz w:val="22"/>
        </w:rPr>
        <w:t>publication/manuscript/CLAIMS-AND-SOURCES.md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research/results/comparisons/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S1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historical Rule A versus Rule P terminal-rule rows.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Motivation only; not a current C1 claim.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S2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historical two-round map-error contrasts.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Motivation only; not a current C3 claim.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S3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older posterior self-consistency checks.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do not replace empirical containment or the C3 certified-volume result.</w:t>
      </w:r>
    </w:p>
    <w:sectPr w:rsidR="00FC693F" w:rsidRPr="0006063C" w:rsidSect="00034616">
      <w:footerReference w:type="default" r:id="rId9"/>
      <w:pgSz w:w="12240" w:h="15840"/>
      <w:pgMar w:top="1440" w:right="1440" w:bottom="2160" w:left="1440" w:header="708" w:footer="708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0"/>
      </w:rPr>
      <w:t xml:space="preserve">Page </w:t>
    </w:r>
    <w:r>
      <w:rPr>
        <w:rFonts w:ascii="Times New Roman" w:hAnsi="Times New Roman" w:eastAsia="Times New Roman" w:cs="Times New Roman"/>
        <w:color w:val="000000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8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SPADE improves operating-region decisions under fixed experimental budgets: a synthetic comparison with Bayesian optimization and response-surface design</dc:title>
  <dc:subject>PLOS ONE research article manuscript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