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From point optimization to operating-region decisions: a fixed-well evaluation of conservative Gaussian-process design for cell manufacturing</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 xml:space="preserve">Cell-manufacturing development commonly seeks a best recipe, although an operational decision may require a region of conditions expected to remain above a specification. These are different estimands: point optimization does not establish simultaneous acceptability over a region. We evaluated SPADE, a fixed-well, multi-round workflow that adapts established Gaussian-process (GP) level-set design and conservative Vorob'ev-set estimation to noisy assay campaigns with an explicit empty-set outcome. The closest antecedent, Azzimonti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already formulated maximum-volume conservative estimation within nested Vorob'ev candidates; SPADE's contribution is therefore assay-oriented integration and bounded empirical comparison, not new excursion-set theory. At 48 wells and relative noise 0.25, SPADE at five rounds showed no detectable regret difference from qLogNEI at ten rounds (SPADE minus qLogNEI </w:t>
      </w:r>
      <w:r>
        <w:rPr>
          <w:rFonts w:ascii="Courier New" w:hAnsi="Courier New" w:eastAsia="Courier New" w:cs="Courier New"/>
          <w:color w:val="000000"/>
          <w:sz w:val="22"/>
        </w:rPr>
        <w:t>-0.0005</w:t>
      </w:r>
      <w:r>
        <w:rPr>
          <w:rFonts w:ascii="Times New Roman" w:hAnsi="Times New Roman" w:eastAsia="Times New Roman" w:cs="Times New Roman"/>
          <w:color w:val="000000"/>
          <w:sz w:val="24"/>
        </w:rPr>
        <w:t xml:space="preserve">, 95% bootstrap CI </w:t>
      </w:r>
      <w:r>
        <w:rPr>
          <w:rFonts w:ascii="Courier New" w:hAnsi="Courier New" w:eastAsia="Courier New" w:cs="Courier New"/>
          <w:color w:val="000000"/>
          <w:sz w:val="22"/>
        </w:rPr>
        <w:t>[-0.0221,0.0207]</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2"/>
        </w:rPr>
        <w:t>n=160</w:t>
      </w:r>
      <w:r>
        <w:rPr>
          <w:rFonts w:ascii="Times New Roman" w:hAnsi="Times New Roman" w:eastAsia="Times New Roman" w:cs="Times New Roman"/>
          <w:color w:val="000000"/>
          <w:sz w:val="24"/>
        </w:rPr>
        <w:t>). At five matched rounds, leave-one-family-out analysis descriptively gave greater certified volume than qLogNEI under the conditional flat-cell bootstrap (</w:t>
      </w:r>
      <w:r>
        <w:rPr>
          <w:rFonts w:ascii="Courier New" w:hAnsi="Courier New" w:eastAsia="Courier New" w:cs="Courier New"/>
          <w:color w:val="000000"/>
          <w:sz w:val="22"/>
        </w:rPr>
        <w:t>+0.000855</w:t>
      </w:r>
      <w:r>
        <w:rPr>
          <w:rFonts w:ascii="Times New Roman" w:hAnsi="Times New Roman" w:eastAsia="Times New Roman" w:cs="Times New Roman"/>
          <w:color w:val="000000"/>
          <w:sz w:val="24"/>
        </w:rPr>
        <w:t xml:space="preserve">, 95% CI </w:t>
      </w:r>
      <w:r>
        <w:rPr>
          <w:rFonts w:ascii="Courier New" w:hAnsi="Courier New" w:eastAsia="Courier New" w:cs="Courier New"/>
          <w:color w:val="000000"/>
          <w:sz w:val="22"/>
        </w:rPr>
        <w:t>[0.000691,0.001028]</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2"/>
        </w:rPr>
        <w:t>n=320</w:t>
      </w:r>
      <w:r>
        <w:rPr>
          <w:rFonts w:ascii="Times New Roman" w:hAnsi="Times New Roman" w:eastAsia="Times New Roman" w:cs="Times New Roman"/>
          <w:color w:val="000000"/>
          <w:sz w:val="24"/>
        </w:rPr>
        <w:t xml:space="preserve"> dependent family-seed-prevalence cells, not campaigns). A specified response-surface design of experiments (DoE) found a better point recipe in three rounds (</w:t>
      </w:r>
      <w:r>
        <w:rPr>
          <w:rFonts w:ascii="Courier New" w:hAnsi="Courier New" w:eastAsia="Courier New" w:cs="Courier New"/>
          <w:color w:val="000000"/>
          <w:sz w:val="22"/>
        </w:rPr>
        <w:t>+0.1026</w:t>
      </w:r>
      <w:r>
        <w:rPr>
          <w:rFonts w:ascii="Times New Roman" w:hAnsi="Times New Roman" w:eastAsia="Times New Roman" w:cs="Times New Roman"/>
          <w:color w:val="000000"/>
          <w:sz w:val="24"/>
        </w:rPr>
        <w:t xml:space="preserve"> SPADE-minus-DoE regret), yet at prevalence 0.30 contained truth in only 85 of 122 answered cells (screened) or 77 of 134 (unscreened), compared with 66 of 66 for SPADE. SPADE selected </w:t>
      </w:r>
      <w:r>
        <w:rPr>
          <w:rFonts w:ascii="Courier New" w:hAnsi="Courier New" w:eastAsia="Courier New" w:cs="Courier New"/>
          <w:color w:val="000000"/>
          <w:sz w:val="22"/>
        </w:rPr>
        <w:t>c=1</w:t>
      </w:r>
      <w:r>
        <w:rPr>
          <w:rFonts w:ascii="Times New Roman" w:hAnsi="Times New Roman" w:eastAsia="Times New Roman" w:cs="Times New Roman"/>
          <w:color w:val="000000"/>
          <w:sz w:val="24"/>
        </w:rPr>
        <w:t xml:space="preserve"> within the DC data; neither DoE arm passed at any tested inflation, so its diagnostic counts are reported at baseline </w:t>
      </w:r>
      <w:r>
        <w:rPr>
          <w:rFonts w:ascii="Courier New" w:hAnsi="Courier New" w:eastAsia="Courier New" w:cs="Courier New"/>
          <w:color w:val="000000"/>
          <w:sz w:val="22"/>
        </w:rPr>
        <w:t>c=1</w:t>
      </w:r>
      <w:r>
        <w:rPr>
          <w:rFonts w:ascii="Times New Roman" w:hAnsi="Times New Roman" w:eastAsia="Times New Roman" w:cs="Times New Roman"/>
          <w:color w:val="000000"/>
          <w:sz w:val="24"/>
        </w:rPr>
        <w:t xml:space="preserve">. Across five families and five prevalences, SPADE answer rate at </w:t>
      </w:r>
      <w:r>
        <w:rPr>
          <w:rFonts w:ascii="Courier New" w:hAnsi="Courier New" w:eastAsia="Courier New" w:cs="Courier New"/>
          <w:color w:val="000000"/>
          <w:sz w:val="22"/>
        </w:rPr>
        <w:t>c=1.0</w:t>
      </w:r>
      <w:r>
        <w:rPr>
          <w:rFonts w:ascii="Times New Roman" w:hAnsi="Times New Roman" w:eastAsia="Times New Roman" w:cs="Times New Roman"/>
          <w:color w:val="000000"/>
          <w:sz w:val="24"/>
        </w:rPr>
        <w:t xml:space="preserve"> was descriptively associated with mean seed-specific true margin-to-noise (Spearman rho </w:t>
      </w:r>
      <w:r>
        <w:rPr>
          <w:rFonts w:ascii="Courier New" w:hAnsi="Courier New" w:eastAsia="Courier New" w:cs="Courier New"/>
          <w:color w:val="000000"/>
          <w:sz w:val="22"/>
        </w:rPr>
        <w:t>0.9880098603</w:t>
      </w:r>
      <w:r>
        <w:rPr>
          <w:rFonts w:ascii="Times New Roman" w:hAnsi="Times New Roman" w:eastAsia="Times New Roman" w:cs="Times New Roman"/>
          <w:color w:val="000000"/>
          <w:sz w:val="24"/>
        </w:rPr>
        <w:t>; 25 nested cells); no naive correlation p-value is interpreted. These results expose a trade-off among optimization, regional decisions, abstention, and operational rounds. They do not establish frequentist coverage, a regulatory design space, or prospective wet-lab validity.</w:t>
      </w:r>
    </w:p>
    <w:p>
      <w:pPr>
        <w:widowControl/>
      </w:pPr>
      <w:r>
        <w:rPr>
          <w:rFonts w:ascii="Times New Roman" w:hAnsi="Times New Roman" w:eastAsia="Times New Roman" w:cs="Times New Roman"/>
          <w:b/>
          <w:color w:val="000000"/>
          <w:sz w:val="24"/>
        </w:rPr>
        <w:t>Keywords:</w:t>
      </w:r>
      <w:r>
        <w:rPr>
          <w:rFonts w:ascii="Times New Roman" w:hAnsi="Times New Roman" w:eastAsia="Times New Roman" w:cs="Times New Roman"/>
          <w:color w:val="000000"/>
          <w:sz w:val="24"/>
        </w:rPr>
        <w:t xml:space="preserve"> abstention; Bayesian optimization; cell manufacturing; design of experiments; excursion set; Gaussian process; operating region; uncertainty quantification.</w:t>
      </w:r>
    </w:p>
    <w:p>
      <w:pPr>
        <w:pStyle w:val="Heading1"/>
        <w:widowControl/>
      </w:pPr>
      <w:r>
        <w:rPr>
          <w:rFonts w:ascii="Times New Roman" w:hAnsi="Times New Roman" w:eastAsia="Times New Roman" w:cs="Times New Roman"/>
          <w:color w:val="000000"/>
          <w:sz w:val="24"/>
        </w:rPr>
        <w:t>1. Introduction</w:t>
      </w:r>
    </w:p>
    <w:p>
      <w:pPr>
        <w:widowControl/>
      </w:pPr>
      <w:r>
        <w:rPr>
          <w:rFonts w:ascii="Times New Roman" w:hAnsi="Times New Roman" w:eastAsia="Times New Roman" w:cs="Times New Roman"/>
          <w:color w:val="000000"/>
          <w:sz w:val="24"/>
        </w:rPr>
        <w:t>A best tested condition and a defensible operating region answer different scientific questions. Expected improvement and modern Bayesian optimization (BO) allocate expensive evaluations to improve an objective [9--12]. Response-surface methodology combines designed experiments with low-order models for target attainment and optimization [13,14]. Neither objective alone answers whether every point in a reported region exceeds a specification with a joint uncertainty statement. This distinction matters when an assay campaign is constrained both by wells and by sequential experimental rounds.</w:t>
      </w:r>
    </w:p>
    <w:p>
      <w:pPr>
        <w:widowControl/>
      </w:pPr>
      <w:r>
        <w:rPr>
          <w:rFonts w:ascii="Times New Roman" w:hAnsi="Times New Roman" w:eastAsia="Times New Roman" w:cs="Times New Roman"/>
          <w:color w:val="000000"/>
          <w:sz w:val="24"/>
        </w:rPr>
        <w:t xml:space="preserve">For latent response </w:t>
      </w:r>
      <w:r>
        <w:rPr>
          <w:rFonts w:ascii="Courier New" w:hAnsi="Courier New" w:eastAsia="Courier New" w:cs="Courier New"/>
          <w:color w:val="000000"/>
          <w:sz w:val="22"/>
        </w:rPr>
        <w:t>f</w:t>
      </w:r>
      <w:r>
        <w:rPr>
          <w:rFonts w:ascii="Times New Roman" w:hAnsi="Times New Roman" w:eastAsia="Times New Roman" w:cs="Times New Roman"/>
          <w:color w:val="000000"/>
          <w:sz w:val="24"/>
        </w:rPr>
        <w:t xml:space="preserve">, threshold </w:t>
      </w:r>
      <w:r>
        <w:rPr>
          <w:rFonts w:ascii="Courier New" w:hAnsi="Courier New" w:eastAsia="Courier New" w:cs="Courier New"/>
          <w:color w:val="000000"/>
          <w:sz w:val="22"/>
        </w:rPr>
        <w:t>tau</w:t>
      </w:r>
      <w:r>
        <w:rPr>
          <w:rFonts w:ascii="Times New Roman" w:hAnsi="Times New Roman" w:eastAsia="Times New Roman" w:cs="Times New Roman"/>
          <w:color w:val="000000"/>
          <w:sz w:val="24"/>
        </w:rPr>
        <w:t xml:space="preserve">, and domain </w:t>
      </w:r>
      <w:r>
        <w:rPr>
          <w:rFonts w:ascii="Courier New" w:hAnsi="Courier New" w:eastAsia="Courier New" w:cs="Courier New"/>
          <w:color w:val="000000"/>
          <w:sz w:val="22"/>
        </w:rPr>
        <w:t>X</w:t>
      </w:r>
      <w:r>
        <w:rPr>
          <w:rFonts w:ascii="Times New Roman" w:hAnsi="Times New Roman" w:eastAsia="Times New Roman" w:cs="Times New Roman"/>
          <w:color w:val="000000"/>
          <w:sz w:val="24"/>
        </w:rPr>
        <w:t xml:space="preserve">, the acceptable region </w:t>
      </w:r>
      <w:r>
        <w:rPr>
          <w:rFonts w:ascii="Courier New" w:hAnsi="Courier New" w:eastAsia="Courier New" w:cs="Courier New"/>
          <w:color w:val="000000"/>
          <w:sz w:val="22"/>
        </w:rPr>
        <w:t>Gamma={x in X:f(x)&gt;=tau}</w:t>
      </w:r>
      <w:r>
        <w:rPr>
          <w:rFonts w:ascii="Times New Roman" w:hAnsi="Times New Roman" w:eastAsia="Times New Roman" w:cs="Times New Roman"/>
          <w:color w:val="000000"/>
          <w:sz w:val="24"/>
        </w:rPr>
        <w:t xml:space="preserve"> is an excursion set. Sequential GP learning of excursion or level sets, including batch and stepwise-uncertainty-reduction strategies, is established [1--3]. Posterior excursion sets can be summarized by coverage functions and nested Vorob'ev quantiles [5--7], while simultaneous excursion probabilities differ from pointwise membership probabilities [8]. Most importantly here, Azzimonti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defined a conservative estimate as a maximum-volume member of a candidate family satisfying </w:t>
      </w:r>
      <w:r>
        <w:rPr>
          <w:rFonts w:ascii="Courier New" w:hAnsi="Courier New" w:eastAsia="Courier New" w:cs="Courier New"/>
          <w:color w:val="000000"/>
          <w:sz w:val="22"/>
        </w:rPr>
        <w:t>P(C subset Gamma | data)&gt;=alpha</w:t>
      </w:r>
      <w:r>
        <w:rPr>
          <w:rFonts w:ascii="Times New Roman" w:hAnsi="Times New Roman" w:eastAsia="Times New Roman" w:cs="Times New Roman"/>
          <w:color w:val="000000"/>
          <w:sz w:val="24"/>
        </w:rPr>
        <w:t>, used nested Vorob'ev quantiles as candidates, and developed batch-sequential designs [4]. That work is a close antecedent to SPADE's certification core and constrains novelty claims about its mathematics.</w:t>
      </w:r>
    </w:p>
    <w:p>
      <w:pPr>
        <w:widowControl/>
      </w:pPr>
      <w:r>
        <w:rPr>
          <w:rFonts w:ascii="Times New Roman" w:hAnsi="Times New Roman" w:eastAsia="Times New Roman" w:cs="Times New Roman"/>
          <w:color w:val="000000"/>
          <w:sz w:val="24"/>
        </w:rPr>
        <w:t>The applied question is how this machinery behaves in a noisy, fixed-well assay workflow when judged on optimization and regional outcomes. Posterior credibility is conditional on the fitted model and need not provide nominal repeated-sampling coverage under misspecification or empirical-Bayes fitting [17--19]. An empty conservative set is logically valid but operationally uninformative, so containment among answered cases must accompany answer rate. This parallels established reject-option and selective-prediction reporting [21,22], although SPADE's set-level abstention is not selective classification.</w:t>
      </w:r>
    </w:p>
    <w:p>
      <w:pPr>
        <w:widowControl/>
      </w:pPr>
      <w:r>
        <w:rPr>
          <w:rFonts w:ascii="Times New Roman" w:hAnsi="Times New Roman" w:eastAsia="Times New Roman" w:cs="Times New Roman"/>
          <w:color w:val="000000"/>
          <w:sz w:val="24"/>
        </w:rPr>
        <w:t>We ask whether SPADE preserves point-recipe quality relative to one implementation of noisy BO; whether matched-round adaptive sampling changes certified volume; whether a tested low-order DoE workflow trades point optimization against empirical regional containment; and what explains abstention across synthetic families and target prevalences. “Operating region” is deliberate: ICH design-space and process-validation concepts require evidence beyond this synthetic study [15,16].</w:t>
      </w:r>
    </w:p>
    <w:p>
      <w:pPr>
        <w:pStyle w:val="Heading2"/>
        <w:widowControl/>
      </w:pPr>
      <w:r>
        <w:rPr>
          <w:rFonts w:ascii="Times New Roman" w:hAnsi="Times New Roman" w:eastAsia="Times New Roman" w:cs="Times New Roman"/>
          <w:color w:val="000000"/>
          <w:sz w:val="24"/>
        </w:rPr>
        <w:t>1.1 Contribution and novelty boundary</w:t>
      </w:r>
    </w:p>
    <w:p>
      <w:pPr>
        <w:widowControl/>
      </w:pPr>
      <w:r>
        <w:rPr>
          <w:rFonts w:ascii="Times New Roman" w:hAnsi="Times New Roman" w:eastAsia="Times New Roman" w:cs="Times New Roman"/>
          <w:color w:val="000000"/>
          <w:sz w:val="24"/>
        </w:rPr>
        <w:t>Table 1 separates established ingredients, application-specific adaptation, and empirical contribution. The intended claim is integration plus evidence, not theoretical priority or universal superiority.</w:t>
      </w:r>
    </w:p>
    <w:p>
      <w:pPr>
        <w:keepNext/>
        <w:keepLines/>
        <w:widowControl/>
      </w:pPr>
      <w:r>
        <w:rPr>
          <w:rFonts w:ascii="Times New Roman" w:hAnsi="Times New Roman" w:eastAsia="Times New Roman" w:cs="Times New Roman"/>
          <w:b/>
          <w:color w:val="000000"/>
          <w:sz w:val="24"/>
        </w:rPr>
        <w:t>Table 1. Contribution and novelty map.</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 in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and boundary-focused sequential design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ingredient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Used within the GP level-set and batch-SUR tradition [1--4].</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Posterior excursion draws and nested Vorob'ev quantiles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ingredient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Used as established random-set summaries [4--8].</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High-volume candidate satisfying joint posterior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ingredient; close antecedent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Azzimonti </w:t>
            </w:r>
            <w:r>
              <w:rPr>
                <w:rFonts w:ascii="Times New Roman" w:hAnsi="Times New Roman" w:eastAsia="Times New Roman" w:cs="Times New Roman"/>
                <w:i/>
                <w:color w:val="000000"/>
                <w:sz w:val="17"/>
              </w:rPr>
              <w:t>et al.</w:t>
            </w:r>
            <w:r>
              <w:rPr>
                <w:rFonts w:ascii="Times New Roman" w:hAnsi="Times New Roman" w:eastAsia="Times New Roman" w:cs="Times New Roman"/>
                <w:color w:val="000000"/>
                <w:sz w:val="17"/>
              </w:rPr>
              <w:t xml:space="preserve"> [4] give essentially this formulation. SPADE searches registered nested candidates on a finite grid, not all measurable subsets.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low-order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is one noisy point-optimization policy [10--12]; the DoE pipeline is study-specific [13,14].</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plug-in variances, 48-well schedules, eight-well later batches,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SPADE-specific assay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Engineering adaptation to the operational setting; not new heteroscedastic-GP or abstention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LC/C3 held-out-family inflation and DC/C2 in-sample selection/fallback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Study-specific analysis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LC selects inflation without the held-out family. In DC, SPADE selects </w:t>
            </w:r>
            <w:r>
              <w:rPr>
                <w:rFonts w:ascii="Courier New" w:hAnsi="Courier New" w:eastAsia="Courier New" w:cs="Courier New"/>
                <w:color w:val="000000"/>
                <w:sz w:val="16"/>
              </w:rPr>
              <w:t>c=1</w:t>
            </w:r>
            <w:r>
              <w:rPr>
                <w:rFonts w:ascii="Times New Roman" w:hAnsi="Times New Roman" w:eastAsia="Times New Roman" w:cs="Times New Roman"/>
                <w:color w:val="000000"/>
                <w:sz w:val="17"/>
              </w:rPr>
              <w:t xml:space="preserve"> in sample; neither DoE arm passes, so DoE is diagnosed at baseline </w:t>
            </w:r>
            <w:r>
              <w:rPr>
                <w:rFonts w:ascii="Courier New" w:hAnsi="Courier New" w:eastAsia="Courier New" w:cs="Courier New"/>
                <w:color w:val="000000"/>
                <w:sz w:val="16"/>
              </w:rPr>
              <w:t>c=1</w:t>
            </w:r>
            <w:r>
              <w:rPr>
                <w:rFonts w:ascii="Times New Roman" w:hAnsi="Times New Roman" w:eastAsia="Times New Roman" w:cs="Times New Roman"/>
                <w:color w:val="000000"/>
                <w:sz w:val="17"/>
              </w:rPr>
              <w:t>. Neither procedure is distribution-free or prospectively validated.</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regional estimator for SPADE, qLogNEI, and DoE observations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contribution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Isolates acquisition/design within the tested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answer-rate, and truth-containment results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contribution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the named families, seeds, targets, noise, schedules, grid, and implementation.</w:t>
            </w:r>
          </w:p>
        </w:tc>
      </w:tr>
    </w:tbl>
    <w:p>
      <w:pPr>
        <w:spacing w:after="40"/>
      </w:pPr>
    </w:p>
    <w:p>
      <w:pPr>
        <w:pStyle w:val="Heading1"/>
        <w:widowControl/>
      </w:pPr>
      <w:r>
        <w:rPr>
          <w:rFonts w:ascii="Times New Roman" w:hAnsi="Times New Roman" w:eastAsia="Times New Roman" w:cs="Times New Roman"/>
          <w:color w:val="000000"/>
          <w:sz w:val="24"/>
        </w:rPr>
        <w:t>2. Materials and methods</w:t>
      </w:r>
    </w:p>
    <w:p>
      <w:pPr>
        <w:pStyle w:val="Heading2"/>
        <w:widowControl/>
      </w:pPr>
      <w:r>
        <w:rPr>
          <w:rFonts w:ascii="Times New Roman" w:hAnsi="Times New Roman" w:eastAsia="Times New Roman" w:cs="Times New Roman"/>
          <w:color w:val="000000"/>
          <w:sz w:val="24"/>
        </w:rPr>
        <w:t>2.1 Study design</w:t>
      </w:r>
    </w:p>
    <w:p>
      <w:pPr>
        <w:widowControl/>
      </w:pPr>
      <w:r>
        <w:rPr>
          <w:rFonts w:ascii="Times New Roman" w:hAnsi="Times New Roman" w:eastAsia="Times New Roman" w:cs="Times New Roman"/>
          <w:color w:val="000000"/>
          <w:sz w:val="24"/>
        </w:rPr>
        <w:t xml:space="preserve">Synthetic programs used six normalized factors, 48 wells, relative noise </w:t>
      </w:r>
      <w:r>
        <w:rPr>
          <w:rFonts w:ascii="Courier New" w:hAnsi="Courier New" w:eastAsia="Courier New" w:cs="Courier New"/>
          <w:color w:val="000000"/>
          <w:sz w:val="22"/>
        </w:rPr>
        <w:t>sigma_rel=0.25</w:t>
      </w:r>
      <w:r>
        <w:rPr>
          <w:rFonts w:ascii="Times New Roman" w:hAnsi="Times New Roman" w:eastAsia="Times New Roman" w:cs="Times New Roman"/>
          <w:color w:val="000000"/>
          <w:sz w:val="24"/>
        </w:rPr>
        <w:t xml:space="preserve">, a 20,000-point truth grid, a 2,000-point scoring subset, 4,096 joint posterior draws, and reported assurance </w:t>
      </w:r>
      <w:r>
        <w:rPr>
          <w:rFonts w:ascii="Courier New" w:hAnsi="Courier New" w:eastAsia="Courier New" w:cs="Courier New"/>
          <w:color w:val="000000"/>
          <w:sz w:val="22"/>
        </w:rPr>
        <w:t>alpha=0.95</w:t>
      </w:r>
      <w:r>
        <w:rPr>
          <w:rFonts w:ascii="Times New Roman" w:hAnsi="Times New Roman" w:eastAsia="Times New Roman" w:cs="Times New Roman"/>
          <w:color w:val="000000"/>
          <w:sz w:val="24"/>
        </w:rPr>
        <w:t>. Families were Ackley, Hartmann6, biphasic Hill, Levy, and Rosenbrock. Hill varied by registered instance; the others used fixed landscapes with design/noise varying by seed. These are structural test functions, not fits to endothelial-cell measurements.</w:t>
      </w:r>
    </w:p>
    <w:p>
      <w:pPr>
        <w:widowControl/>
      </w:pPr>
      <w:r>
        <w:rPr>
          <w:rFonts w:ascii="Times New Roman" w:hAnsi="Times New Roman" w:eastAsia="Times New Roman" w:cs="Times New Roman"/>
          <w:color w:val="000000"/>
          <w:sz w:val="24"/>
        </w:rPr>
        <w:t xml:space="preserve">Table 2 gives exact arms, wells, rounds, seeds, prevalences, and evidence status. A round is a sequential decision opportunity, not extra wells: all synthetic arms used 48 wells. SPADE R3 used </w:t>
      </w:r>
      <w:r>
        <w:rPr>
          <w:rFonts w:ascii="Courier New" w:hAnsi="Courier New" w:eastAsia="Courier New" w:cs="Courier New"/>
          <w:color w:val="000000"/>
          <w:sz w:val="22"/>
        </w:rPr>
        <w:t>32+8+8</w:t>
      </w:r>
      <w:r>
        <w:rPr>
          <w:rFonts w:ascii="Times New Roman" w:hAnsi="Times New Roman" w:eastAsia="Times New Roman" w:cs="Times New Roman"/>
          <w:color w:val="000000"/>
          <w:sz w:val="24"/>
        </w:rPr>
        <w:t xml:space="preserve">, SPADE R5 used </w:t>
      </w:r>
      <w:r>
        <w:rPr>
          <w:rFonts w:ascii="Courier New" w:hAnsi="Courier New" w:eastAsia="Courier New" w:cs="Courier New"/>
          <w:color w:val="000000"/>
          <w:sz w:val="22"/>
        </w:rPr>
        <w:t>16+8+8+8+8</w:t>
      </w:r>
      <w:r>
        <w:rPr>
          <w:rFonts w:ascii="Times New Roman" w:hAnsi="Times New Roman" w:eastAsia="Times New Roman" w:cs="Times New Roman"/>
          <w:color w:val="000000"/>
          <w:sz w:val="24"/>
        </w:rPr>
        <w:t>, and qLogNEI R10 used its registered 14-point opening followed by batches totaling 48 wells. Fewer rounds therefore do not imply fewer wells.</w:t>
      </w:r>
    </w:p>
    <w:p>
      <w:pPr>
        <w:keepNext/>
        <w:keepLines/>
        <w:widowControl/>
      </w:pPr>
      <w:r>
        <w:rPr>
          <w:rFonts w:ascii="Times New Roman" w:hAnsi="Times New Roman" w:eastAsia="Times New Roman" w:cs="Times New Roman"/>
          <w:b/>
          <w:color w:val="000000"/>
          <w:sz w:val="24"/>
        </w:rPr>
        <w:t>Table 2. Study and benchmark overview.</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560"/>
        <w:gridCol w:w="1560"/>
        <w:gridCol w:w="1560"/>
        <w:gridCol w:w="1560"/>
        <w:gridCol w:w="1560"/>
        <w:gridCol w:w="1560"/>
      </w:tblGrid>
      <w:tr>
        <w:trPr>
          <w:cantSplit/>
          <w:tblHeader w:val="true"/>
        </w:trPr>
        <w:tc>
          <w:tcPr>
            <w:tcW w:type="dxa" w:w="15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Program</w:t>
            </w:r>
          </w:p>
        </w:tc>
        <w:tc>
          <w:tcPr>
            <w:tcW w:type="dxa" w:w="15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Arms and operational rounds used here</w:t>
            </w:r>
          </w:p>
        </w:tc>
        <w:tc>
          <w:tcPr>
            <w:tcW w:type="dxa" w:w="15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w:t>
            </w:r>
          </w:p>
        </w:tc>
        <w:tc>
          <w:tcPr>
            <w:tcW w:type="dxa" w:w="15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Families and seeds</w:t>
            </w:r>
          </w:p>
        </w:tc>
        <w:tc>
          <w:tcPr>
            <w:tcW w:type="dxa" w:w="15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Target prevalences</w:t>
            </w:r>
          </w:p>
        </w:tc>
        <w:tc>
          <w:tcPr>
            <w:tcW w:type="dxa" w:w="15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Status and role</w:t>
            </w:r>
          </w:p>
        </w:tc>
      </w:tr>
      <w:tr>
        <w:trPr>
          <w:cantSplit/>
        </w:trPr>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DC</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 R3; unscreened DoE R3; SPADE R5; qLogNEI R10</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 x 32 seeds</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0.70, 0.30</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Complete active grid; confirmatory/core C1/C2; C1 supersedes the cross-run estimate.</w:t>
            </w:r>
          </w:p>
        </w:tc>
      </w:tr>
      <w:tr>
        <w:trPr>
          <w:cantSplit/>
        </w:trPr>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LC</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R3/R5; qLogNEI R3/R5/R10</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 x 32 seeds</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0.30, 0.10</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Complete active grid; confirmatory/core C3 and SPADE side of C4; LOFO inflation.</w:t>
            </w:r>
          </w:p>
        </w:tc>
      </w:tr>
      <w:tr>
        <w:trPr>
          <w:cantSplit/>
        </w:trPr>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LA/C4</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One-shot LHS R1 paired with LC SPADE R3</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Four common families x 20 common seeds</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paired by family and seed</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Complete active grid; frozen development lineage used as core C4 support; exactly </w:t>
            </w:r>
            <w:r>
              <w:rPr>
                <w:rFonts w:ascii="Courier New" w:hAnsi="Courier New" w:eastAsia="Courier New" w:cs="Courier New"/>
                <w:color w:val="000000"/>
                <w:sz w:val="16"/>
              </w:rPr>
              <w:t>4 x 20=80</w:t>
            </w:r>
            <w:r>
              <w:rPr>
                <w:rFonts w:ascii="Times New Roman" w:hAnsi="Times New Roman" w:eastAsia="Times New Roman" w:cs="Times New Roman"/>
                <w:color w:val="000000"/>
                <w:sz w:val="17"/>
              </w:rPr>
              <w:t xml:space="preserve"> pairs; unmatched Hill and seeds 20--31 excluded, not imputed.</w:t>
            </w:r>
          </w:p>
        </w:tc>
      </w:tr>
      <w:tr>
        <w:trPr>
          <w:cantSplit/>
        </w:trPr>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TAU</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R5; qLogNEI R5</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 x 64 seeds</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0.70, 0.50, 0.30, 0.20, 0.10</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Complete active grid; confirmatory/core descriptive gate for C5/C6; </w:t>
            </w:r>
            <w:r>
              <w:rPr>
                <w:rFonts w:ascii="Courier New" w:hAnsi="Courier New" w:eastAsia="Courier New" w:cs="Courier New"/>
                <w:color w:val="000000"/>
                <w:sz w:val="16"/>
              </w:rPr>
              <w:t>c={1,1.5,2,3}</w:t>
            </w:r>
            <w:r>
              <w:rPr>
                <w:rFonts w:ascii="Times New Roman" w:hAnsi="Times New Roman" w:eastAsia="Times New Roman" w:cs="Times New Roman"/>
                <w:color w:val="000000"/>
                <w:sz w:val="17"/>
              </w:rPr>
              <w:t>.</w:t>
            </w:r>
          </w:p>
        </w:tc>
      </w:tr>
      <w:tr>
        <w:trPr>
          <w:cantSplit/>
        </w:trPr>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TT</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Committed SPADE R5; target-aligned SPADE R5; qLogNEI R5</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 x 32 seeds</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0.70, 0.30</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Complete active grid; mechanism study S1.</w:t>
            </w:r>
          </w:p>
        </w:tc>
      </w:tr>
      <w:tr>
        <w:trPr>
          <w:cantSplit/>
        </w:trPr>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In-house iPSC-EC</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Retrospective GP diagnostic; no adaptive rounds</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 observed tubes</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campaign seeds</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Absolute thresholds</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Provisional support; </w:t>
            </w:r>
            <w:r>
              <w:rPr>
                <w:rFonts w:ascii="Courier New" w:hAnsi="Courier New" w:eastAsia="Courier New" w:cs="Courier New"/>
                <w:color w:val="000000"/>
                <w:sz w:val="16"/>
              </w:rPr>
              <w:t>awaiting_human_signoff</w:t>
            </w:r>
            <w:r>
              <w:rPr>
                <w:rFonts w:ascii="Times New Roman" w:hAnsi="Times New Roman" w:eastAsia="Times New Roman" w:cs="Times New Roman"/>
                <w:color w:val="000000"/>
                <w:sz w:val="17"/>
              </w:rPr>
              <w:t>; not prospective validation.</w:t>
            </w:r>
          </w:p>
        </w:tc>
      </w:tr>
      <w:tr>
        <w:trPr>
          <w:cantSplit/>
        </w:trPr>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Hall/Ogle</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Retrospective GP diagnostic; no adaptive rounds</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23 usable stage-1 compositions</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campaign seeds</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Multiples of observed median</w:t>
            </w:r>
          </w:p>
        </w:tc>
        <w:tc>
          <w:tcPr>
            <w:tcW w:type="dxa" w:w="15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Published-data support [23]; not a prospective SPADE campaign.</w:t>
            </w:r>
          </w:p>
        </w:tc>
      </w:tr>
    </w:tbl>
    <w:p>
      <w:pPr>
        <w:spacing w:after="40"/>
      </w:pPr>
    </w:p>
    <w:p>
      <w:pPr>
        <w:pStyle w:val="Heading2"/>
        <w:widowControl/>
      </w:pPr>
      <w:r>
        <w:rPr>
          <w:rFonts w:ascii="Times New Roman" w:hAnsi="Times New Roman" w:eastAsia="Times New Roman" w:cs="Times New Roman"/>
          <w:color w:val="000000"/>
          <w:sz w:val="24"/>
        </w:rPr>
        <w:t>2.2 SPADE and regional decision rule</w:t>
      </w:r>
    </w:p>
    <w:p>
      <w:pPr>
        <w:widowControl/>
      </w:pPr>
      <w:r>
        <w:rPr>
          <w:rFonts w:ascii="Times New Roman" w:hAnsi="Times New Roman" w:eastAsia="Times New Roman" w:cs="Times New Roman"/>
          <w:color w:val="000000"/>
          <w:sz w:val="24"/>
        </w:rPr>
        <w:t xml:space="preserve">SPADE fits a GP to coordinates </w:t>
      </w:r>
      <w:r>
        <w:rPr>
          <w:rFonts w:ascii="Courier New" w:hAnsi="Courier New" w:eastAsia="Courier New" w:cs="Courier New"/>
          <w:color w:val="000000"/>
          <w:sz w:val="22"/>
        </w:rPr>
        <w:t>X</w:t>
      </w:r>
      <w:r>
        <w:rPr>
          <w:rFonts w:ascii="Times New Roman" w:hAnsi="Times New Roman" w:eastAsia="Times New Roman" w:cs="Times New Roman"/>
          <w:color w:val="000000"/>
          <w:sz w:val="24"/>
        </w:rPr>
        <w:t xml:space="preserve">, normalized outcomes </w:t>
      </w:r>
      <w:r>
        <w:rPr>
          <w:rFonts w:ascii="Courier New" w:hAnsi="Courier New" w:eastAsia="Courier New" w:cs="Courier New"/>
          <w:color w:val="000000"/>
          <w:sz w:val="22"/>
        </w:rPr>
        <w:t>Y</w:t>
      </w:r>
      <w:r>
        <w:rPr>
          <w:rFonts w:ascii="Times New Roman" w:hAnsi="Times New Roman" w:eastAsia="Times New Roman" w:cs="Times New Roman"/>
          <w:color w:val="000000"/>
          <w:sz w:val="24"/>
        </w:rPr>
        <w:t xml:space="preserve">, and plug-in observation variances </w:t>
      </w:r>
      <w:r>
        <w:rPr>
          <w:rFonts w:ascii="Courier New" w:hAnsi="Courier New" w:eastAsia="Courier New" w:cs="Courier New"/>
          <w:color w:val="000000"/>
          <w:sz w:val="22"/>
        </w:rPr>
        <w:t>Yvar</w:t>
      </w:r>
      <w:r>
        <w:rPr>
          <w:rFonts w:ascii="Times New Roman" w:hAnsi="Times New Roman" w:eastAsia="Times New Roman" w:cs="Times New Roman"/>
          <w:color w:val="000000"/>
          <w:sz w:val="24"/>
        </w:rPr>
        <w:t>. The synthetic oracle supplied per-well variances for SPADE and qLogNEI; DoE adapters used the registered constant plug-in variance. SPADE begins with a space-filling batch, refits after each later batch, and samples near the uncertain boundary using its registered conservative-set straddle acquisition. This implementation is related to, but does not inherit guarantees from, prior level-set losses [1--4].</w:t>
      </w:r>
    </w:p>
    <w:p>
      <w:pPr>
        <w:widowControl/>
      </w:pPr>
      <w:r>
        <w:rPr>
          <w:rFonts w:ascii="Times New Roman" w:hAnsi="Times New Roman" w:eastAsia="Times New Roman" w:cs="Times New Roman"/>
          <w:color w:val="000000"/>
          <w:sz w:val="24"/>
        </w:rPr>
        <w:t xml:space="preserve">For posterior draw </w:t>
      </w:r>
      <w:r>
        <w:rPr>
          <w:rFonts w:ascii="Courier New" w:hAnsi="Courier New" w:eastAsia="Courier New" w:cs="Courier New"/>
          <w:color w:val="000000"/>
          <w:sz w:val="22"/>
        </w:rPr>
        <w:t>b</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2"/>
        </w:rPr>
        <w:t>Gamma^(b)={x:f^(b)(x)&gt;=tau}</w:t>
      </w:r>
      <w:r>
        <w:rPr>
          <w:rFonts w:ascii="Times New Roman" w:hAnsi="Times New Roman" w:eastAsia="Times New Roman" w:cs="Times New Roman"/>
          <w:color w:val="000000"/>
          <w:sz w:val="24"/>
        </w:rPr>
        <w:t xml:space="preserve"> is evaluated on the registered grid. The algorithm scans 64 nested Vorob'ev levels and returns the largest scanned candidate whose same-draw Monte Carlo joint model-containment estimate reaches </w:t>
      </w:r>
      <w:r>
        <w:rPr>
          <w:rFonts w:ascii="Courier New" w:hAnsi="Courier New" w:eastAsia="Courier New" w:cs="Courier New"/>
          <w:color w:val="000000"/>
          <w:sz w:val="22"/>
        </w:rPr>
        <w:t>alpha=0.95</w:t>
      </w:r>
      <w:r>
        <w:rPr>
          <w:rFonts w:ascii="Times New Roman" w:hAnsi="Times New Roman" w:eastAsia="Times New Roman" w:cs="Times New Roman"/>
          <w:color w:val="000000"/>
          <w:sz w:val="24"/>
        </w:rPr>
        <w:t xml:space="preserve">; posterior inflation </w:t>
      </w:r>
      <w:r>
        <w:rPr>
          <w:rFonts w:ascii="Courier New" w:hAnsi="Courier New" w:eastAsia="Courier New" w:cs="Courier New"/>
          <w:color w:val="000000"/>
          <w:sz w:val="22"/>
        </w:rPr>
        <w:t>c</w:t>
      </w:r>
      <w:r>
        <w:rPr>
          <w:rFonts w:ascii="Times New Roman" w:hAnsi="Times New Roman" w:eastAsia="Times New Roman" w:cs="Times New Roman"/>
          <w:color w:val="000000"/>
          <w:sz w:val="24"/>
        </w:rPr>
        <w:t xml:space="preserve"> is selected from </w:t>
      </w:r>
      <w:r>
        <w:rPr>
          <w:rFonts w:ascii="Courier New" w:hAnsi="Courier New" w:eastAsia="Courier New" w:cs="Courier New"/>
          <w:color w:val="000000"/>
          <w:sz w:val="22"/>
        </w:rPr>
        <w:t>{1.0,1.5,2.0,3.0}</w:t>
      </w:r>
      <w:r>
        <w:rPr>
          <w:rFonts w:ascii="Times New Roman" w:hAnsi="Times New Roman" w:eastAsia="Times New Roman" w:cs="Times New Roman"/>
          <w:color w:val="000000"/>
          <w:sz w:val="24"/>
        </w:rPr>
        <w:t>. “Largest” means largest among these finite candidates, not a global continuous-domain optimum. No non-empty passing candidate yields abstention.</w:t>
      </w:r>
    </w:p>
    <w:p>
      <w:pPr>
        <w:widowControl/>
      </w:pPr>
      <w:r>
        <w:rPr>
          <w:rFonts w:ascii="Times New Roman" w:hAnsi="Times New Roman" w:eastAsia="Times New Roman" w:cs="Times New Roman"/>
          <w:color w:val="000000"/>
          <w:sz w:val="24"/>
        </w:rPr>
        <w:t xml:space="preserve">Recorded outcomes are </w:t>
      </w:r>
      <w:r>
        <w:rPr>
          <w:rFonts w:ascii="Courier New" w:hAnsi="Courier New" w:eastAsia="Courier New" w:cs="Courier New"/>
          <w:color w:val="000000"/>
          <w:sz w:val="22"/>
        </w:rPr>
        <w:t>answered</w:t>
      </w:r>
      <w:r>
        <w:rPr>
          <w:rFonts w:ascii="Times New Roman" w:hAnsi="Times New Roman" w:eastAsia="Times New Roman" w:cs="Times New Roman"/>
          <w:color w:val="000000"/>
          <w:sz w:val="24"/>
        </w:rPr>
        <w:t xml:space="preserve">, truth </w:t>
      </w:r>
      <w:r>
        <w:rPr>
          <w:rFonts w:ascii="Courier New" w:hAnsi="Courier New" w:eastAsia="Courier New" w:cs="Courier New"/>
          <w:color w:val="000000"/>
          <w:sz w:val="22"/>
        </w:rPr>
        <w:t>contained</w:t>
      </w:r>
      <w:r>
        <w:rPr>
          <w:rFonts w:ascii="Times New Roman" w:hAnsi="Times New Roman" w:eastAsia="Times New Roman" w:cs="Times New Roman"/>
          <w:color w:val="000000"/>
          <w:sz w:val="24"/>
        </w:rPr>
        <w:t xml:space="preserve"> conditional on an answer, answer rate, conditional empirical containment, certified grid volume, and simple regret. Truth containment uses the known synthetic surface; model-internal containment is not validation. The registered gate requires a one-sided 95% Clopper--Pearson lower bound at least 0.90 and answer rate at least 0.05. These bounds summarize the observed answered-cell proportion under ordinary binomial assumptions, not cluster-aware campaign-level coverage [20].</w:t>
      </w:r>
    </w:p>
    <w:p>
      <w:pPr>
        <w:pStyle w:val="Heading2"/>
        <w:widowControl/>
      </w:pPr>
      <w:r>
        <w:rPr>
          <w:rFonts w:ascii="Times New Roman" w:hAnsi="Times New Roman" w:eastAsia="Times New Roman" w:cs="Times New Roman"/>
          <w:color w:val="000000"/>
          <w:sz w:val="24"/>
        </w:rPr>
        <w:t>2.3 Comparators and calibration</w:t>
      </w:r>
    </w:p>
    <w:p>
      <w:pPr>
        <w:widowControl/>
      </w:pPr>
      <w:r>
        <w:rPr>
          <w:rFonts w:ascii="Times New Roman" w:hAnsi="Times New Roman" w:eastAsia="Times New Roman" w:cs="Times New Roman"/>
          <w:color w:val="000000"/>
          <w:sz w:val="24"/>
        </w:rPr>
        <w:t>qLogNEI used the same well budget and GP model but optimized noisy expected improvement [10--12]. Its observations then entered the common regional estimator; a qLogNEI certificate is common post-processing, not an intrinsic qLogNEI output. Screened DoE used a 20-run six-factor screen reduced to four factors, a 27-run face-centred response-surface design, and one confirmation well. The unscreened arm omitted screening while retaining the registered budget and low-order model. These arms do not represent all classical, optimal, robust, or model-based designs.</w:t>
      </w:r>
    </w:p>
    <w:p>
      <w:pPr>
        <w:widowControl/>
      </w:pPr>
      <w:r>
        <w:rPr>
          <w:rFonts w:ascii="Times New Roman" w:hAnsi="Times New Roman" w:eastAsia="Times New Roman" w:cs="Times New Roman"/>
          <w:color w:val="000000"/>
          <w:sz w:val="24"/>
        </w:rPr>
        <w:t xml:space="preserve">Calibration differed by claim. LC/C3 selected the smallest passing </w:t>
      </w:r>
      <w:r>
        <w:rPr>
          <w:rFonts w:ascii="Courier New" w:hAnsi="Courier New" w:eastAsia="Courier New" w:cs="Courier New"/>
          <w:color w:val="000000"/>
          <w:sz w:val="22"/>
        </w:rPr>
        <w:t>c</w:t>
      </w:r>
      <w:r>
        <w:rPr>
          <w:rFonts w:ascii="Times New Roman" w:hAnsi="Times New Roman" w:eastAsia="Times New Roman" w:cs="Times New Roman"/>
          <w:color w:val="000000"/>
          <w:sz w:val="24"/>
        </w:rPr>
        <w:t xml:space="preserve"> on four families and evaluated it on the held-out fifth; selection and scoring pooled prevalences 0.30 and 0.10. In DC/C2, SPADE selected </w:t>
      </w:r>
      <w:r>
        <w:rPr>
          <w:rFonts w:ascii="Courier New" w:hAnsi="Courier New" w:eastAsia="Courier New" w:cs="Courier New"/>
          <w:color w:val="000000"/>
          <w:sz w:val="22"/>
        </w:rPr>
        <w:t>c=1</w:t>
      </w:r>
      <w:r>
        <w:rPr>
          <w:rFonts w:ascii="Times New Roman" w:hAnsi="Times New Roman" w:eastAsia="Times New Roman" w:cs="Times New Roman"/>
          <w:color w:val="000000"/>
          <w:sz w:val="24"/>
        </w:rPr>
        <w:t xml:space="preserve"> using the DC cells themselves. Neither DoE arm passed the registered gate at any tested inflation, so the screened and unscreened DoE counts are baseline </w:t>
      </w:r>
      <w:r>
        <w:rPr>
          <w:rFonts w:ascii="Courier New" w:hAnsi="Courier New" w:eastAsia="Courier New" w:cs="Courier New"/>
          <w:color w:val="000000"/>
          <w:sz w:val="22"/>
        </w:rPr>
        <w:t>c=1</w:t>
      </w:r>
      <w:r>
        <w:rPr>
          <w:rFonts w:ascii="Times New Roman" w:hAnsi="Times New Roman" w:eastAsia="Times New Roman" w:cs="Times New Roman"/>
          <w:color w:val="000000"/>
          <w:sz w:val="24"/>
        </w:rPr>
        <w:t xml:space="preserve"> diagnostics rather than selected passing certificates. C2 is in-sample and descriptive, not the held-out-family procedure used for C3.</w:t>
      </w:r>
    </w:p>
    <w:p>
      <w:pPr>
        <w:pStyle w:val="Heading2"/>
        <w:widowControl/>
      </w:pPr>
      <w:r>
        <w:rPr>
          <w:rFonts w:ascii="Times New Roman" w:hAnsi="Times New Roman" w:eastAsia="Times New Roman" w:cs="Times New Roman"/>
          <w:color w:val="000000"/>
          <w:sz w:val="24"/>
        </w:rPr>
        <w:t>2.4 Statistical analysis and real-data support</w:t>
      </w:r>
    </w:p>
    <w:p>
      <w:pPr>
        <w:widowControl/>
      </w:pPr>
      <w:r>
        <w:rPr>
          <w:rFonts w:ascii="Times New Roman" w:hAnsi="Times New Roman" w:eastAsia="Times New Roman" w:cs="Times New Roman"/>
          <w:color w:val="000000"/>
          <w:sz w:val="24"/>
        </w:rPr>
        <w:t xml:space="preserve">Contrasts were paired by </w:t>
      </w:r>
      <w:r>
        <w:rPr>
          <w:rFonts w:ascii="Courier New" w:hAnsi="Courier New" w:eastAsia="Courier New" w:cs="Courier New"/>
          <w:color w:val="000000"/>
          <w:sz w:val="22"/>
        </w:rPr>
        <w:t>(family,seed)</w:t>
      </w:r>
      <w:r>
        <w:rPr>
          <w:rFonts w:ascii="Times New Roman" w:hAnsi="Times New Roman" w:eastAsia="Times New Roman" w:cs="Times New Roman"/>
          <w:color w:val="000000"/>
          <w:sz w:val="24"/>
        </w:rPr>
        <w:t xml:space="preserve"> or </w:t>
      </w:r>
      <w:r>
        <w:rPr>
          <w:rFonts w:ascii="Courier New" w:hAnsi="Courier New" w:eastAsia="Courier New" w:cs="Courier New"/>
          <w:color w:val="000000"/>
          <w:sz w:val="22"/>
        </w:rPr>
        <w:t>(family,seed,prevalence)</w:t>
      </w:r>
      <w:r>
        <w:rPr>
          <w:rFonts w:ascii="Times New Roman" w:hAnsi="Times New Roman" w:eastAsia="Times New Roman" w:cs="Times New Roman"/>
          <w:color w:val="000000"/>
          <w:sz w:val="24"/>
        </w:rPr>
        <w:t>. Frozen analysers used 8,000 ordinary nonparametric bootstrap resamples of flat contrast rows, percentile intervals, and two-sided bootstrap tail-area proportions relative to zero. Because observations can share families, landscapes, seeds, prevalences, or campaigns, these are conditional descriptive summaries under a cell-exchangeability approximation and may be too narrow under within-cluster dependence. C1 used a regret smallest effect of interest of 0.02; crossing its boundary was not interpreted as equivalence.</w:t>
      </w:r>
    </w:p>
    <w:p>
      <w:pPr>
        <w:widowControl/>
      </w:pPr>
      <w:r>
        <w:rPr>
          <w:rFonts w:ascii="Times New Roman" w:hAnsi="Times New Roman" w:eastAsia="Times New Roman" w:cs="Times New Roman"/>
          <w:color w:val="000000"/>
          <w:sz w:val="24"/>
        </w:rPr>
        <w:t xml:space="preserve">For C5, each of 25 family-prevalence cells paired SPADE answer rate at </w:t>
      </w:r>
      <w:r>
        <w:rPr>
          <w:rFonts w:ascii="Courier New" w:hAnsi="Courier New" w:eastAsia="Courier New" w:cs="Courier New"/>
          <w:color w:val="000000"/>
          <w:sz w:val="22"/>
        </w:rPr>
        <w:t>c=1.0</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2"/>
        </w:rPr>
        <w:t>alpha=0.95</w:t>
      </w:r>
      <w:r>
        <w:rPr>
          <w:rFonts w:ascii="Times New Roman" w:hAnsi="Times New Roman" w:eastAsia="Times New Roman" w:cs="Times New Roman"/>
          <w:color w:val="000000"/>
          <w:sz w:val="24"/>
        </w:rPr>
        <w:t xml:space="preserve"> with the mean of 64 unique seed-specific true margin-to-noise values. Median margin and qLogNEI answer rate were sensitivities. Cells are nested within five families and share ordered prevalences; the Spearman coefficient is descriptive, without a naive independence-based p-value.</w:t>
      </w:r>
    </w:p>
    <w:p>
      <w:pPr>
        <w:widowControl/>
      </w:pPr>
      <w:r>
        <w:rPr>
          <w:rFonts w:ascii="Times New Roman" w:hAnsi="Times New Roman" w:eastAsia="Times New Roman" w:cs="Times New Roman"/>
          <w:color w:val="000000"/>
          <w:sz w:val="24"/>
        </w:rPr>
        <w:t>Retrospective support used an in-house iPSC-EC candidate dataset and the published Hall--Ogle stage-1 extraction [23]. Mean-marginalized covariance propagated estimated-mean uncertainty. Leave-one-out (LOO) inflation evaluated held-out observation prediction, not latent-response uncertainty or prospective set containment.</w:t>
      </w:r>
    </w:p>
    <w:p>
      <w:pPr>
        <w:pStyle w:val="Heading2"/>
        <w:widowControl/>
      </w:pPr>
      <w:r>
        <w:rPr>
          <w:rFonts w:ascii="Times New Roman" w:hAnsi="Times New Roman" w:eastAsia="Times New Roman" w:cs="Times New Roman"/>
          <w:color w:val="000000"/>
          <w:sz w:val="24"/>
        </w:rPr>
        <w:t>2.5 Display-item status</w:t>
      </w:r>
    </w:p>
    <w:p>
      <w:pPr>
        <w:widowControl/>
      </w:pPr>
      <w:r>
        <w:rPr>
          <w:rFonts w:ascii="Times New Roman" w:hAnsi="Times New Roman" w:eastAsia="Times New Roman" w:cs="Times New Roman"/>
          <w:color w:val="000000"/>
          <w:sz w:val="24"/>
        </w:rPr>
        <w:t>Tables 1--3 are the current manuscript display items. Existing repository figures describe historical pipeline states and are not cited as current results. A figure package regenerated from the active pipeline is pending; no conclusion depends on it.</w:t>
      </w:r>
    </w:p>
    <w:p>
      <w:pPr>
        <w:pStyle w:val="Heading1"/>
        <w:widowControl/>
      </w:pPr>
      <w:r>
        <w:rPr>
          <w:rFonts w:ascii="Times New Roman" w:hAnsi="Times New Roman" w:eastAsia="Times New Roman" w:cs="Times New Roman"/>
          <w:color w:val="000000"/>
          <w:sz w:val="24"/>
        </w:rPr>
        <w:t>3. Results</w:t>
      </w:r>
    </w:p>
    <w:p>
      <w:pPr>
        <w:widowControl/>
      </w:pPr>
      <w:r>
        <w:rPr>
          <w:rFonts w:ascii="Times New Roman" w:hAnsi="Times New Roman" w:eastAsia="Times New Roman" w:cs="Times New Roman"/>
          <w:color w:val="000000"/>
          <w:sz w:val="24"/>
        </w:rPr>
        <w:t>Table 3 gives the exact analysis populations and status. Regional-containment rows state target, noise, assurance, wells, rounds, seeds, answered denominator, and contained numerator locally.</w:t>
      </w:r>
    </w:p>
    <w:p>
      <w:pPr>
        <w:keepNext/>
        <w:keepLines/>
        <w:widowControl/>
      </w:pPr>
      <w:r>
        <w:rPr>
          <w:rFonts w:ascii="Times New Roman" w:hAnsi="Times New Roman" w:eastAsia="Times New Roman" w:cs="Times New Roman"/>
          <w:b/>
          <w:color w:val="000000"/>
          <w:sz w:val="24"/>
        </w:rPr>
        <w:t>Table 3. Primary and supporting results.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3150"/>
        <w:gridCol w:w="1550"/>
        <w:gridCol w:w="1850"/>
        <w:gridCol w:w="2810"/>
      </w:tblGrid>
      <w:tr>
        <w:trPr>
          <w:cantSplit/>
          <w:tblHeader w:val="true"/>
        </w:trPr>
        <w:tc>
          <w:tcPr>
            <w:tcW w:type="dxa" w:w="31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ID</w:t>
            </w:r>
          </w:p>
        </w:tc>
        <w:tc>
          <w:tcPr>
            <w:tcW w:type="dxa" w:w="15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Analysis population and settings</w:t>
            </w:r>
          </w:p>
        </w:tc>
        <w:tc>
          <w:tcPr>
            <w:tcW w:type="dxa" w:w="18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c>
          <w:tcPr>
            <w:tcW w:type="dxa" w:w="281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Interpretation/status</w:t>
            </w:r>
          </w:p>
        </w:tc>
      </w:tr>
      <w:tr>
        <w:trPr>
          <w:cantSplit/>
        </w:trPr>
        <w:tc>
          <w:tcPr>
            <w:tcW w:type="dxa" w:w="31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C1</w:t>
            </w:r>
          </w:p>
        </w:tc>
        <w:tc>
          <w:tcPr>
            <w:tcW w:type="dxa" w:w="15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DC; five families x 32 seeds (</w:t>
            </w:r>
            <w:r>
              <w:rPr>
                <w:rFonts w:ascii="Courier New" w:hAnsi="Courier New" w:eastAsia="Courier New" w:cs="Courier New"/>
                <w:color w:val="000000"/>
                <w:sz w:val="16"/>
              </w:rPr>
              <w:t>n=160</w:t>
            </w:r>
            <w:r>
              <w:rPr>
                <w:rFonts w:ascii="Times New Roman" w:hAnsi="Times New Roman" w:eastAsia="Times New Roman" w:cs="Times New Roman"/>
                <w:color w:val="000000"/>
                <w:sz w:val="17"/>
              </w:rPr>
              <w:t>); 48 wells; SPADE R5 vs qLogNEI R10; noise 0.25</w:t>
            </w:r>
          </w:p>
        </w:tc>
        <w:tc>
          <w:tcPr>
            <w:tcW w:type="dxa" w:w="18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Regret </w:t>
            </w:r>
            <w:r>
              <w:rPr>
                <w:rFonts w:ascii="Courier New" w:hAnsi="Courier New" w:eastAsia="Courier New" w:cs="Courier New"/>
                <w:color w:val="000000"/>
                <w:sz w:val="16"/>
              </w:rPr>
              <w:t>-0.0005</w:t>
            </w:r>
            <w:r>
              <w:rPr>
                <w:rFonts w:ascii="Times New Roman" w:hAnsi="Times New Roman" w:eastAsia="Times New Roman" w:cs="Times New Roman"/>
                <w:color w:val="000000"/>
                <w:sz w:val="17"/>
              </w:rPr>
              <w:t xml:space="preserve">, 95% CI </w:t>
            </w:r>
            <w:r>
              <w:rPr>
                <w:rFonts w:ascii="Courier New" w:hAnsi="Courier New" w:eastAsia="Courier New" w:cs="Courier New"/>
                <w:color w:val="000000"/>
                <w:sz w:val="16"/>
              </w:rPr>
              <w:t>[-0.0221,0.0207]</w:t>
            </w:r>
            <w:r>
              <w:rPr>
                <w:rFonts w:ascii="Times New Roman" w:hAnsi="Times New Roman" w:eastAsia="Times New Roman" w:cs="Times New Roman"/>
                <w:color w:val="000000"/>
                <w:sz w:val="17"/>
              </w:rPr>
              <w:t xml:space="preserve">, </w:t>
            </w:r>
            <w:r>
              <w:rPr>
                <w:rFonts w:ascii="Courier New" w:hAnsi="Courier New" w:eastAsia="Courier New" w:cs="Courier New"/>
                <w:color w:val="000000"/>
                <w:sz w:val="16"/>
              </w:rPr>
              <w:t>p=0.96</w:t>
            </w:r>
          </w:p>
        </w:tc>
        <w:tc>
          <w:tcPr>
            <w:tcW w:type="dxa" w:w="281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detectable difference; not equivalence.</w:t>
            </w:r>
          </w:p>
        </w:tc>
      </w:tr>
      <w:tr>
        <w:trPr>
          <w:cantSplit/>
        </w:trPr>
        <w:tc>
          <w:tcPr>
            <w:tcW w:type="dxa" w:w="31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C2</w:t>
            </w:r>
          </w:p>
        </w:tc>
        <w:tc>
          <w:tcPr>
            <w:tcW w:type="dxa" w:w="15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DC, prevalence 0.30; five families x 32 seeds (160 eligible/arm); 48 wells; noise 0.25; </w:t>
            </w:r>
            <w:r>
              <w:rPr>
                <w:rFonts w:ascii="Courier New" w:hAnsi="Courier New" w:eastAsia="Courier New" w:cs="Courier New"/>
                <w:color w:val="000000"/>
                <w:sz w:val="16"/>
              </w:rPr>
              <w:t>alpha=0.95</w:t>
            </w:r>
            <w:r>
              <w:rPr>
                <w:rFonts w:ascii="Times New Roman" w:hAnsi="Times New Roman" w:eastAsia="Times New Roman" w:cs="Times New Roman"/>
                <w:color w:val="000000"/>
                <w:sz w:val="17"/>
              </w:rPr>
              <w:t xml:space="preserve">; SPADE R5 selected </w:t>
            </w:r>
            <w:r>
              <w:rPr>
                <w:rFonts w:ascii="Courier New" w:hAnsi="Courier New" w:eastAsia="Courier New" w:cs="Courier New"/>
                <w:color w:val="000000"/>
                <w:sz w:val="16"/>
              </w:rPr>
              <w:t>c=1</w:t>
            </w:r>
            <w:r>
              <w:rPr>
                <w:rFonts w:ascii="Times New Roman" w:hAnsi="Times New Roman" w:eastAsia="Times New Roman" w:cs="Times New Roman"/>
                <w:color w:val="000000"/>
                <w:sz w:val="17"/>
              </w:rPr>
              <w:t xml:space="preserve">; neither DoE R3 arm passed at any tested inflation, so DoE uses baseline/fallback </w:t>
            </w:r>
            <w:r>
              <w:rPr>
                <w:rFonts w:ascii="Courier New" w:hAnsi="Courier New" w:eastAsia="Courier New" w:cs="Courier New"/>
                <w:color w:val="000000"/>
                <w:sz w:val="16"/>
              </w:rPr>
              <w:t>c=1</w:t>
            </w:r>
          </w:p>
        </w:tc>
        <w:tc>
          <w:tcPr>
            <w:tcW w:type="dxa" w:w="18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SPADE 66/160 answered, 66/66 contained, </w:t>
            </w:r>
            <w:r>
              <w:rPr>
                <w:rFonts w:ascii="Courier New" w:hAnsi="Courier New" w:eastAsia="Courier New" w:cs="Courier New"/>
                <w:color w:val="000000"/>
                <w:sz w:val="16"/>
              </w:rPr>
              <w:t>1.0000</w:t>
            </w:r>
            <w:r>
              <w:rPr>
                <w:rFonts w:ascii="Times New Roman" w:hAnsi="Times New Roman" w:eastAsia="Times New Roman" w:cs="Times New Roman"/>
                <w:color w:val="000000"/>
                <w:sz w:val="17"/>
              </w:rPr>
              <w:t xml:space="preserve">, LB </w:t>
            </w:r>
            <w:r>
              <w:rPr>
                <w:rFonts w:ascii="Courier New" w:hAnsi="Courier New" w:eastAsia="Courier New" w:cs="Courier New"/>
                <w:color w:val="000000"/>
                <w:sz w:val="16"/>
              </w:rPr>
              <w:t>0.9556</w:t>
            </w:r>
            <w:r>
              <w:rPr>
                <w:rFonts w:ascii="Times New Roman" w:hAnsi="Times New Roman" w:eastAsia="Times New Roman" w:cs="Times New Roman"/>
                <w:color w:val="000000"/>
                <w:sz w:val="17"/>
              </w:rPr>
              <w:t xml:space="preserve">; screened DoE 122/160 answered, 85/122 contained, </w:t>
            </w:r>
            <w:r>
              <w:rPr>
                <w:rFonts w:ascii="Courier New" w:hAnsi="Courier New" w:eastAsia="Courier New" w:cs="Courier New"/>
                <w:color w:val="000000"/>
                <w:sz w:val="16"/>
              </w:rPr>
              <w:t>0.6967</w:t>
            </w:r>
            <w:r>
              <w:rPr>
                <w:rFonts w:ascii="Times New Roman" w:hAnsi="Times New Roman" w:eastAsia="Times New Roman" w:cs="Times New Roman"/>
                <w:color w:val="000000"/>
                <w:sz w:val="17"/>
              </w:rPr>
              <w:t xml:space="preserve">; unscreened DoE 134/160 answered, 77/134 contained, </w:t>
            </w:r>
            <w:r>
              <w:rPr>
                <w:rFonts w:ascii="Courier New" w:hAnsi="Courier New" w:eastAsia="Courier New" w:cs="Courier New"/>
                <w:color w:val="000000"/>
                <w:sz w:val="16"/>
              </w:rPr>
              <w:t>0.5746</w:t>
            </w:r>
          </w:p>
        </w:tc>
        <w:tc>
          <w:tcPr>
            <w:tcW w:type="dxa" w:w="281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Perfect observed SPADE containment among answers; low observed conditional DoE containment despite frequent answers.</w:t>
            </w:r>
          </w:p>
        </w:tc>
      </w:tr>
      <w:tr>
        <w:trPr>
          <w:cantSplit/>
        </w:trPr>
        <w:tc>
          <w:tcPr>
            <w:tcW w:type="dxa" w:w="31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C2 adverse</w:t>
            </w:r>
          </w:p>
        </w:tc>
        <w:tc>
          <w:tcPr>
            <w:tcW w:type="dxa" w:w="15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DC; five families x 32 seeds (</w:t>
            </w:r>
            <w:r>
              <w:rPr>
                <w:rFonts w:ascii="Courier New" w:hAnsi="Courier New" w:eastAsia="Courier New" w:cs="Courier New"/>
                <w:color w:val="000000"/>
                <w:sz w:val="16"/>
              </w:rPr>
              <w:t>n=160</w:t>
            </w:r>
            <w:r>
              <w:rPr>
                <w:rFonts w:ascii="Times New Roman" w:hAnsi="Times New Roman" w:eastAsia="Times New Roman" w:cs="Times New Roman"/>
                <w:color w:val="000000"/>
                <w:sz w:val="17"/>
              </w:rPr>
              <w:t>); 48 wells; SPADE R5 vs screened DoE R3; noise 0.25</w:t>
            </w:r>
          </w:p>
        </w:tc>
        <w:tc>
          <w:tcPr>
            <w:tcW w:type="dxa" w:w="18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SPADE-minus-DoE regret </w:t>
            </w:r>
            <w:r>
              <w:rPr>
                <w:rFonts w:ascii="Courier New" w:hAnsi="Courier New" w:eastAsia="Courier New" w:cs="Courier New"/>
                <w:color w:val="000000"/>
                <w:sz w:val="16"/>
              </w:rPr>
              <w:t>+0.1026</w:t>
            </w:r>
            <w:r>
              <w:rPr>
                <w:rFonts w:ascii="Times New Roman" w:hAnsi="Times New Roman" w:eastAsia="Times New Roman" w:cs="Times New Roman"/>
                <w:color w:val="000000"/>
                <w:sz w:val="17"/>
              </w:rPr>
              <w:t xml:space="preserve">, 95% CI </w:t>
            </w:r>
            <w:r>
              <w:rPr>
                <w:rFonts w:ascii="Courier New" w:hAnsi="Courier New" w:eastAsia="Courier New" w:cs="Courier New"/>
                <w:color w:val="000000"/>
                <w:sz w:val="16"/>
              </w:rPr>
              <w:t>[+0.0486,+0.1578]</w:t>
            </w:r>
            <w:r>
              <w:rPr>
                <w:rFonts w:ascii="Times New Roman" w:hAnsi="Times New Roman" w:eastAsia="Times New Roman" w:cs="Times New Roman"/>
                <w:color w:val="000000"/>
                <w:sz w:val="17"/>
              </w:rPr>
              <w:t xml:space="preserve">, </w:t>
            </w:r>
            <w:r>
              <w:rPr>
                <w:rFonts w:ascii="Courier New" w:hAnsi="Courier New" w:eastAsia="Courier New" w:cs="Courier New"/>
                <w:color w:val="000000"/>
                <w:sz w:val="16"/>
              </w:rPr>
              <w:t>p=0.0003</w:t>
            </w:r>
          </w:p>
        </w:tc>
        <w:tc>
          <w:tcPr>
            <w:tcW w:type="dxa" w:w="281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DoE found the better point recipe with fewer rounds.</w:t>
            </w:r>
          </w:p>
        </w:tc>
      </w:tr>
      <w:tr>
        <w:trPr>
          <w:cantSplit/>
        </w:trPr>
        <w:tc>
          <w:tcPr>
            <w:tcW w:type="dxa" w:w="31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C3</w:t>
            </w:r>
          </w:p>
        </w:tc>
        <w:tc>
          <w:tcPr>
            <w:tcW w:type="dxa" w:w="15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LC R5 vs R5; five families x 32 seeds x prevalences 0.30 and 0.10 (</w:t>
            </w:r>
            <w:r>
              <w:rPr>
                <w:rFonts w:ascii="Courier New" w:hAnsi="Courier New" w:eastAsia="Courier New" w:cs="Courier New"/>
                <w:color w:val="000000"/>
                <w:sz w:val="16"/>
              </w:rPr>
              <w:t>n=320</w:t>
            </w:r>
            <w:r>
              <w:rPr>
                <w:rFonts w:ascii="Times New Roman" w:hAnsi="Times New Roman" w:eastAsia="Times New Roman" w:cs="Times New Roman"/>
                <w:color w:val="000000"/>
                <w:sz w:val="17"/>
              </w:rPr>
              <w:t xml:space="preserve"> cells); 48 wells; noise 0.25; </w:t>
            </w:r>
            <w:r>
              <w:rPr>
                <w:rFonts w:ascii="Courier New" w:hAnsi="Courier New" w:eastAsia="Courier New" w:cs="Courier New"/>
                <w:color w:val="000000"/>
                <w:sz w:val="16"/>
              </w:rPr>
              <w:t>alpha=0.95</w:t>
            </w:r>
            <w:r>
              <w:rPr>
                <w:rFonts w:ascii="Times New Roman" w:hAnsi="Times New Roman" w:eastAsia="Times New Roman" w:cs="Times New Roman"/>
                <w:color w:val="000000"/>
                <w:sz w:val="17"/>
              </w:rPr>
              <w:t>; LOFO inflation</w:t>
            </w:r>
          </w:p>
        </w:tc>
        <w:tc>
          <w:tcPr>
            <w:tcW w:type="dxa" w:w="18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SPADE-minus-qLogNEI volume </w:t>
            </w:r>
            <w:r>
              <w:rPr>
                <w:rFonts w:ascii="Courier New" w:hAnsi="Courier New" w:eastAsia="Courier New" w:cs="Courier New"/>
                <w:color w:val="000000"/>
                <w:sz w:val="16"/>
              </w:rPr>
              <w:t>+0.000855</w:t>
            </w:r>
            <w:r>
              <w:rPr>
                <w:rFonts w:ascii="Times New Roman" w:hAnsi="Times New Roman" w:eastAsia="Times New Roman" w:cs="Times New Roman"/>
                <w:color w:val="000000"/>
                <w:sz w:val="17"/>
              </w:rPr>
              <w:t xml:space="preserve">, 95% CI </w:t>
            </w:r>
            <w:r>
              <w:rPr>
                <w:rFonts w:ascii="Courier New" w:hAnsi="Courier New" w:eastAsia="Courier New" w:cs="Courier New"/>
                <w:color w:val="000000"/>
                <w:sz w:val="16"/>
              </w:rPr>
              <w:t>[+0.000691,+0.001028]</w:t>
            </w:r>
            <w:r>
              <w:rPr>
                <w:rFonts w:ascii="Times New Roman" w:hAnsi="Times New Roman" w:eastAsia="Times New Roman" w:cs="Times New Roman"/>
                <w:color w:val="000000"/>
                <w:sz w:val="17"/>
              </w:rPr>
              <w:t xml:space="preserve">, </w:t>
            </w:r>
            <w:r>
              <w:rPr>
                <w:rFonts w:ascii="Courier New" w:hAnsi="Courier New" w:eastAsia="Courier New" w:cs="Courier New"/>
                <w:color w:val="000000"/>
                <w:sz w:val="16"/>
              </w:rPr>
              <w:t>p&lt;0.0001</w:t>
            </w:r>
          </w:p>
        </w:tc>
        <w:tc>
          <w:tcPr>
            <w:tcW w:type="dxa" w:w="281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Greater matched-round volume; conditional flat-cell bootstrap.</w:t>
            </w:r>
          </w:p>
        </w:tc>
      </w:tr>
      <w:tr>
        <w:trPr>
          <w:cantSplit/>
        </w:trPr>
        <w:tc>
          <w:tcPr>
            <w:tcW w:type="dxa" w:w="31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C4</w:t>
            </w:r>
          </w:p>
        </w:tc>
        <w:tc>
          <w:tcPr>
            <w:tcW w:type="dxa" w:w="15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LC SPADE R3 vs LA LHS R1; four named families x 20 common seeds (</w:t>
            </w:r>
            <w:r>
              <w:rPr>
                <w:rFonts w:ascii="Courier New" w:hAnsi="Courier New" w:eastAsia="Courier New" w:cs="Courier New"/>
                <w:color w:val="000000"/>
                <w:sz w:val="16"/>
              </w:rPr>
              <w:t>4 x 20=80</w:t>
            </w:r>
            <w:r>
              <w:rPr>
                <w:rFonts w:ascii="Times New Roman" w:hAnsi="Times New Roman" w:eastAsia="Times New Roman" w:cs="Times New Roman"/>
                <w:color w:val="000000"/>
                <w:sz w:val="17"/>
              </w:rPr>
              <w:t>); 48 wells; noise 0.25</w:t>
            </w:r>
          </w:p>
        </w:tc>
        <w:tc>
          <w:tcPr>
            <w:tcW w:type="dxa" w:w="18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SPADE-minus-LHS regret </w:t>
            </w:r>
            <w:r>
              <w:rPr>
                <w:rFonts w:ascii="Courier New" w:hAnsi="Courier New" w:eastAsia="Courier New" w:cs="Courier New"/>
                <w:color w:val="000000"/>
                <w:sz w:val="16"/>
              </w:rPr>
              <w:t>-0.0783</w:t>
            </w:r>
            <w:r>
              <w:rPr>
                <w:rFonts w:ascii="Times New Roman" w:hAnsi="Times New Roman" w:eastAsia="Times New Roman" w:cs="Times New Roman"/>
                <w:color w:val="000000"/>
                <w:sz w:val="17"/>
              </w:rPr>
              <w:t xml:space="preserve">, 95% CI </w:t>
            </w:r>
            <w:r>
              <w:rPr>
                <w:rFonts w:ascii="Courier New" w:hAnsi="Courier New" w:eastAsia="Courier New" w:cs="Courier New"/>
                <w:color w:val="000000"/>
                <w:sz w:val="16"/>
              </w:rPr>
              <w:t>[-0.1104,-0.0490]</w:t>
            </w:r>
          </w:p>
        </w:tc>
        <w:tc>
          <w:tcPr>
            <w:tcW w:type="dxa" w:w="281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Lower regret than one-shot space filling.</w:t>
            </w:r>
          </w:p>
        </w:tc>
      </w:tr>
      <w:tr>
        <w:trPr>
          <w:cantSplit/>
        </w:trPr>
        <w:tc>
          <w:tcPr>
            <w:tcW w:type="dxa" w:w="31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C5</w:t>
            </w:r>
          </w:p>
        </w:tc>
        <w:tc>
          <w:tcPr>
            <w:tcW w:type="dxa" w:w="15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TAU; five families x five prevalences; 64 seeds; SPADE R5; 48 wells; noise 0.25; </w:t>
            </w:r>
            <w:r>
              <w:rPr>
                <w:rFonts w:ascii="Courier New" w:hAnsi="Courier New" w:eastAsia="Courier New" w:cs="Courier New"/>
                <w:color w:val="000000"/>
                <w:sz w:val="16"/>
              </w:rPr>
              <w:t>alpha=0.95</w:t>
            </w:r>
            <w:r>
              <w:rPr>
                <w:rFonts w:ascii="Times New Roman" w:hAnsi="Times New Roman" w:eastAsia="Times New Roman" w:cs="Times New Roman"/>
                <w:color w:val="000000"/>
                <w:sz w:val="17"/>
              </w:rPr>
              <w:t xml:space="preserve">; </w:t>
            </w:r>
            <w:r>
              <w:rPr>
                <w:rFonts w:ascii="Courier New" w:hAnsi="Courier New" w:eastAsia="Courier New" w:cs="Courier New"/>
                <w:color w:val="000000"/>
                <w:sz w:val="16"/>
              </w:rPr>
              <w:t>c=1.0</w:t>
            </w:r>
          </w:p>
        </w:tc>
        <w:tc>
          <w:tcPr>
            <w:tcW w:type="dxa" w:w="18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Descriptive rho </w:t>
            </w:r>
            <w:r>
              <w:rPr>
                <w:rFonts w:ascii="Courier New" w:hAnsi="Courier New" w:eastAsia="Courier New" w:cs="Courier New"/>
                <w:color w:val="000000"/>
                <w:sz w:val="16"/>
              </w:rPr>
              <w:t>0.9880098603</w:t>
            </w:r>
            <w:r>
              <w:rPr>
                <w:rFonts w:ascii="Times New Roman" w:hAnsi="Times New Roman" w:eastAsia="Times New Roman" w:cs="Times New Roman"/>
                <w:color w:val="000000"/>
                <w:sz w:val="17"/>
              </w:rPr>
              <w:t xml:space="preserve"> over 25 nested cells; median-margin rho identical; qLogNEI sensitivity </w:t>
            </w:r>
            <w:r>
              <w:rPr>
                <w:rFonts w:ascii="Courier New" w:hAnsi="Courier New" w:eastAsia="Courier New" w:cs="Courier New"/>
                <w:color w:val="000000"/>
                <w:sz w:val="16"/>
              </w:rPr>
              <w:t>0.9682461469</w:t>
            </w:r>
          </w:p>
        </w:tc>
        <w:tc>
          <w:tcPr>
            <w:tcW w:type="dxa" w:w="281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Oracle-derived explanation; no naive p inference.</w:t>
            </w:r>
          </w:p>
        </w:tc>
      </w:tr>
      <w:tr>
        <w:trPr>
          <w:cantSplit/>
        </w:trPr>
        <w:tc>
          <w:tcPr>
            <w:tcW w:type="dxa" w:w="31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C6</w:t>
            </w:r>
          </w:p>
        </w:tc>
        <w:tc>
          <w:tcPr>
            <w:tcW w:type="dxa" w:w="15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Hill, prevalence 0.70; 64 seeds; SPADE/qLogNEI R5; 48 wells; noise 0.25; </w:t>
            </w:r>
            <w:r>
              <w:rPr>
                <w:rFonts w:ascii="Courier New" w:hAnsi="Courier New" w:eastAsia="Courier New" w:cs="Courier New"/>
                <w:color w:val="000000"/>
                <w:sz w:val="16"/>
              </w:rPr>
              <w:t>alpha=0.95</w:t>
            </w:r>
            <w:r>
              <w:rPr>
                <w:rFonts w:ascii="Times New Roman" w:hAnsi="Times New Roman" w:eastAsia="Times New Roman" w:cs="Times New Roman"/>
                <w:color w:val="000000"/>
                <w:sz w:val="17"/>
              </w:rPr>
              <w:t xml:space="preserve">; </w:t>
            </w:r>
            <w:r>
              <w:rPr>
                <w:rFonts w:ascii="Courier New" w:hAnsi="Courier New" w:eastAsia="Courier New" w:cs="Courier New"/>
                <w:color w:val="000000"/>
                <w:sz w:val="16"/>
              </w:rPr>
              <w:t>c=1.0</w:t>
            </w:r>
          </w:p>
        </w:tc>
        <w:tc>
          <w:tcPr>
            <w:tcW w:type="dxa" w:w="18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SPADE 40/64 answered, 40/40 contained, LB </w:t>
            </w:r>
            <w:r>
              <w:rPr>
                <w:rFonts w:ascii="Courier New" w:hAnsi="Courier New" w:eastAsia="Courier New" w:cs="Courier New"/>
                <w:color w:val="000000"/>
                <w:sz w:val="16"/>
              </w:rPr>
              <w:t>0.9278</w:t>
            </w:r>
            <w:r>
              <w:rPr>
                <w:rFonts w:ascii="Times New Roman" w:hAnsi="Times New Roman" w:eastAsia="Times New Roman" w:cs="Times New Roman"/>
                <w:color w:val="000000"/>
                <w:sz w:val="17"/>
              </w:rPr>
              <w:t xml:space="preserve">; qLogNEI 27/64 answered, 27/27 contained, LB below </w:t>
            </w:r>
            <w:r>
              <w:rPr>
                <w:rFonts w:ascii="Courier New" w:hAnsi="Courier New" w:eastAsia="Courier New" w:cs="Courier New"/>
                <w:color w:val="000000"/>
                <w:sz w:val="16"/>
              </w:rPr>
              <w:t>0.90</w:t>
            </w:r>
          </w:p>
        </w:tc>
        <w:tc>
          <w:tcPr>
            <w:tcW w:type="dxa" w:w="281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Both had perfect observed containment; qLogNEI was two answers below the registered minimum perfect-containment count.</w:t>
            </w:r>
          </w:p>
        </w:tc>
      </w:tr>
      <w:tr>
        <w:trPr>
          <w:cantSplit/>
        </w:trPr>
        <w:tc>
          <w:tcPr>
            <w:tcW w:type="dxa" w:w="31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S1</w:t>
            </w:r>
          </w:p>
        </w:tc>
        <w:tc>
          <w:tcPr>
            <w:tcW w:type="dxa" w:w="15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TT, prevalence 0.30; five families x 32 seeds; 48 wells; noise 0.25; committed vs target-aligned SPADE R5</w:t>
            </w:r>
          </w:p>
        </w:tc>
        <w:tc>
          <w:tcPr>
            <w:tcW w:type="dxa" w:w="18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Volume </w:t>
            </w:r>
            <w:r>
              <w:rPr>
                <w:rFonts w:ascii="Courier New" w:hAnsi="Courier New" w:eastAsia="Courier New" w:cs="Courier New"/>
                <w:color w:val="000000"/>
                <w:sz w:val="16"/>
              </w:rPr>
              <w:t>+0.000425</w:t>
            </w:r>
            <w:r>
              <w:rPr>
                <w:rFonts w:ascii="Times New Roman" w:hAnsi="Times New Roman" w:eastAsia="Times New Roman" w:cs="Times New Roman"/>
                <w:color w:val="000000"/>
                <w:sz w:val="17"/>
              </w:rPr>
              <w:t xml:space="preserve">, 95% CI </w:t>
            </w:r>
            <w:r>
              <w:rPr>
                <w:rFonts w:ascii="Courier New" w:hAnsi="Courier New" w:eastAsia="Courier New" w:cs="Courier New"/>
                <w:color w:val="000000"/>
                <w:sz w:val="16"/>
              </w:rPr>
              <w:t>[-0.000022,+0.000875]</w:t>
            </w:r>
            <w:r>
              <w:rPr>
                <w:rFonts w:ascii="Times New Roman" w:hAnsi="Times New Roman" w:eastAsia="Times New Roman" w:cs="Times New Roman"/>
                <w:color w:val="000000"/>
                <w:sz w:val="17"/>
              </w:rPr>
              <w:t xml:space="preserve">; regret </w:t>
            </w:r>
            <w:r>
              <w:rPr>
                <w:rFonts w:ascii="Courier New" w:hAnsi="Courier New" w:eastAsia="Courier New" w:cs="Courier New"/>
                <w:color w:val="000000"/>
                <w:sz w:val="16"/>
              </w:rPr>
              <w:t>+0.0301</w:t>
            </w:r>
            <w:r>
              <w:rPr>
                <w:rFonts w:ascii="Times New Roman" w:hAnsi="Times New Roman" w:eastAsia="Times New Roman" w:cs="Times New Roman"/>
                <w:color w:val="000000"/>
                <w:sz w:val="17"/>
              </w:rPr>
              <w:t xml:space="preserve">, 95% CI </w:t>
            </w:r>
            <w:r>
              <w:rPr>
                <w:rFonts w:ascii="Courier New" w:hAnsi="Courier New" w:eastAsia="Courier New" w:cs="Courier New"/>
                <w:color w:val="000000"/>
                <w:sz w:val="16"/>
              </w:rPr>
              <w:t>[+0.0169,+0.0450]</w:t>
            </w:r>
            <w:r>
              <w:rPr>
                <w:rFonts w:ascii="Times New Roman" w:hAnsi="Times New Roman" w:eastAsia="Times New Roman" w:cs="Times New Roman"/>
                <w:color w:val="000000"/>
                <w:sz w:val="17"/>
              </w:rPr>
              <w:t xml:space="preserve">, </w:t>
            </w:r>
            <w:r>
              <w:rPr>
                <w:rFonts w:ascii="Courier New" w:hAnsi="Courier New" w:eastAsia="Courier New" w:cs="Courier New"/>
                <w:color w:val="000000"/>
                <w:sz w:val="16"/>
              </w:rPr>
              <w:t>p&lt;0.0001</w:t>
            </w:r>
          </w:p>
        </w:tc>
        <w:tc>
          <w:tcPr>
            <w:tcW w:type="dxa" w:w="281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Adoption gate failed; Hartmann6/Ackley effects cancelled.</w:t>
            </w:r>
          </w:p>
        </w:tc>
      </w:tr>
      <w:tr>
        <w:trPr>
          <w:cantSplit/>
        </w:trPr>
        <w:tc>
          <w:tcPr>
            <w:tcW w:type="dxa" w:w="31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S2/S3</w:t>
            </w:r>
          </w:p>
        </w:tc>
        <w:tc>
          <w:tcPr>
            <w:tcW w:type="dxa" w:w="15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Retrospective synthetic, in-house, and Hall/Ogle diagnostics</w:t>
            </w:r>
          </w:p>
        </w:tc>
        <w:tc>
          <w:tcPr>
            <w:tcW w:type="dxa" w:w="18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Mean posterior marginal SD over the candidate grid widened </w:t>
            </w:r>
            <w:r>
              <w:rPr>
                <w:rFonts w:ascii="Courier New" w:hAnsi="Courier New" w:eastAsia="Courier New" w:cs="Courier New"/>
                <w:color w:val="000000"/>
                <w:sz w:val="16"/>
              </w:rPr>
              <w:t>1.004x--1.011x</w:t>
            </w:r>
            <w:r>
              <w:rPr>
                <w:rFonts w:ascii="Times New Roman" w:hAnsi="Times New Roman" w:eastAsia="Times New Roman" w:cs="Times New Roman"/>
                <w:color w:val="000000"/>
                <w:sz w:val="17"/>
              </w:rPr>
              <w:t xml:space="preserve"> on benchmarks, </w:t>
            </w:r>
            <w:r>
              <w:rPr>
                <w:rFonts w:ascii="Courier New" w:hAnsi="Courier New" w:eastAsia="Courier New" w:cs="Courier New"/>
                <w:color w:val="000000"/>
                <w:sz w:val="16"/>
              </w:rPr>
              <w:t>484x</w:t>
            </w:r>
            <w:r>
              <w:rPr>
                <w:rFonts w:ascii="Times New Roman" w:hAnsi="Times New Roman" w:eastAsia="Times New Roman" w:cs="Times New Roman"/>
                <w:color w:val="000000"/>
                <w:sz w:val="17"/>
              </w:rPr>
              <w:t xml:space="preserve"> in-house, and </w:t>
            </w:r>
            <w:r>
              <w:rPr>
                <w:rFonts w:ascii="Courier New" w:hAnsi="Courier New" w:eastAsia="Courier New" w:cs="Courier New"/>
                <w:color w:val="000000"/>
                <w:sz w:val="16"/>
              </w:rPr>
              <w:t>297x</w:t>
            </w:r>
            <w:r>
              <w:rPr>
                <w:rFonts w:ascii="Times New Roman" w:hAnsi="Times New Roman" w:eastAsia="Times New Roman" w:cs="Times New Roman"/>
                <w:color w:val="000000"/>
                <w:sz w:val="17"/>
              </w:rPr>
              <w:t xml:space="preserve"> on Hall/Ogle; LOO </w:t>
            </w:r>
            <w:r>
              <w:rPr>
                <w:rFonts w:ascii="Courier New" w:hAnsi="Courier New" w:eastAsia="Courier New" w:cs="Courier New"/>
                <w:color w:val="000000"/>
                <w:sz w:val="16"/>
              </w:rPr>
              <w:t>c=0.712</w:t>
            </w:r>
            <w:r>
              <w:rPr>
                <w:rFonts w:ascii="Times New Roman" w:hAnsi="Times New Roman" w:eastAsia="Times New Roman" w:cs="Times New Roman"/>
                <w:color w:val="000000"/>
                <w:sz w:val="17"/>
              </w:rPr>
              <w:t xml:space="preserve"> in-house, </w:t>
            </w:r>
            <w:r>
              <w:rPr>
                <w:rFonts w:ascii="Courier New" w:hAnsi="Courier New" w:eastAsia="Courier New" w:cs="Courier New"/>
                <w:color w:val="000000"/>
                <w:sz w:val="16"/>
              </w:rPr>
              <w:t>c=0.526</w:t>
            </w:r>
            <w:r>
              <w:rPr>
                <w:rFonts w:ascii="Times New Roman" w:hAnsi="Times New Roman" w:eastAsia="Times New Roman" w:cs="Times New Roman"/>
                <w:color w:val="000000"/>
                <w:sz w:val="17"/>
              </w:rPr>
              <w:t xml:space="preserve"> published</w:t>
            </w:r>
          </w:p>
        </w:tc>
        <w:tc>
          <w:tcPr>
            <w:tcW w:type="dxa" w:w="281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Supporting stdout-reproduced diagnostics without structured result objects or numerical guards.</w:t>
            </w:r>
          </w:p>
        </w:tc>
      </w:tr>
    </w:tbl>
    <w:p>
      <w:pPr>
        <w:spacing w:after="40"/>
      </w:pPr>
    </w:p>
    <w:p>
      <w:pPr>
        <w:pStyle w:val="Heading2"/>
        <w:widowControl/>
      </w:pPr>
      <w:r>
        <w:rPr>
          <w:rFonts w:ascii="Times New Roman" w:hAnsi="Times New Roman" w:eastAsia="Times New Roman" w:cs="Times New Roman"/>
          <w:color w:val="000000"/>
          <w:sz w:val="24"/>
        </w:rPr>
        <w:t>3.1 Point optimization</w:t>
      </w:r>
    </w:p>
    <w:p>
      <w:pPr>
        <w:widowControl/>
      </w:pPr>
      <w:r>
        <w:rPr>
          <w:rFonts w:ascii="Times New Roman" w:hAnsi="Times New Roman" w:eastAsia="Times New Roman" w:cs="Times New Roman"/>
          <w:color w:val="000000"/>
          <w:sz w:val="24"/>
        </w:rPr>
        <w:t xml:space="preserve">The DC SPADE R5 minus qLogNEI R10 regret contrast was </w:t>
      </w:r>
      <w:r>
        <w:rPr>
          <w:rFonts w:ascii="Courier New" w:hAnsi="Courier New" w:eastAsia="Courier New" w:cs="Courier New"/>
          <w:color w:val="000000"/>
          <w:sz w:val="22"/>
        </w:rPr>
        <w:t>-0.0005</w:t>
      </w:r>
      <w:r>
        <w:rPr>
          <w:rFonts w:ascii="Times New Roman" w:hAnsi="Times New Roman" w:eastAsia="Times New Roman" w:cs="Times New Roman"/>
          <w:color w:val="000000"/>
          <w:sz w:val="24"/>
        </w:rPr>
        <w:t xml:space="preserve"> (95% CI </w:t>
      </w:r>
      <w:r>
        <w:rPr>
          <w:rFonts w:ascii="Courier New" w:hAnsi="Courier New" w:eastAsia="Courier New" w:cs="Courier New"/>
          <w:color w:val="000000"/>
          <w:sz w:val="22"/>
        </w:rPr>
        <w:t>[-0.0221,0.0207]</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2"/>
        </w:rPr>
        <w:t>p=0.96</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2"/>
        </w:rPr>
        <w:t>n=160</w:t>
      </w:r>
      <w:r>
        <w:rPr>
          <w:rFonts w:ascii="Times New Roman" w:hAnsi="Times New Roman" w:eastAsia="Times New Roman" w:cs="Times New Roman"/>
          <w:color w:val="000000"/>
          <w:sz w:val="24"/>
        </w:rPr>
        <w:t>; Table 3). The interval extends slightly beyond the registered +/-0.02 effect boundary. It supports no detectable difference, not equivalence. Both used 48 wells; SPADE used fewer rounds, but time and cost were not measured.</w:t>
      </w:r>
    </w:p>
    <w:p>
      <w:pPr>
        <w:pStyle w:val="Heading2"/>
        <w:widowControl/>
      </w:pPr>
      <w:r>
        <w:rPr>
          <w:rFonts w:ascii="Times New Roman" w:hAnsi="Times New Roman" w:eastAsia="Times New Roman" w:cs="Times New Roman"/>
          <w:color w:val="000000"/>
          <w:sz w:val="24"/>
        </w:rPr>
        <w:t>3.2 Matched rounds and one-shot sampling</w:t>
      </w:r>
    </w:p>
    <w:p>
      <w:pPr>
        <w:widowControl/>
      </w:pPr>
      <w:r>
        <w:rPr>
          <w:rFonts w:ascii="Times New Roman" w:hAnsi="Times New Roman" w:eastAsia="Times New Roman" w:cs="Times New Roman"/>
          <w:color w:val="000000"/>
          <w:sz w:val="24"/>
        </w:rPr>
        <w:t xml:space="preserve">For C3, five-round certified-volume difference was </w:t>
      </w:r>
      <w:r>
        <w:rPr>
          <w:rFonts w:ascii="Courier New" w:hAnsi="Courier New" w:eastAsia="Courier New" w:cs="Courier New"/>
          <w:color w:val="000000"/>
          <w:sz w:val="22"/>
        </w:rPr>
        <w:t>+0.000855</w:t>
      </w:r>
      <w:r>
        <w:rPr>
          <w:rFonts w:ascii="Times New Roman" w:hAnsi="Times New Roman" w:eastAsia="Times New Roman" w:cs="Times New Roman"/>
          <w:color w:val="000000"/>
          <w:sz w:val="24"/>
        </w:rPr>
        <w:t xml:space="preserve"> (95% CI </w:t>
      </w:r>
      <w:r>
        <w:rPr>
          <w:rFonts w:ascii="Courier New" w:hAnsi="Courier New" w:eastAsia="Courier New" w:cs="Courier New"/>
          <w:color w:val="000000"/>
          <w:sz w:val="22"/>
        </w:rPr>
        <w:t>[+0.000691,+0.001028]</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2"/>
        </w:rPr>
        <w:t>p&lt;0.0001</w:t>
      </w:r>
      <w:r>
        <w:rPr>
          <w:rFonts w:ascii="Times New Roman" w:hAnsi="Times New Roman" w:eastAsia="Times New Roman" w:cs="Times New Roman"/>
          <w:color w:val="000000"/>
          <w:sz w:val="24"/>
        </w:rPr>
        <w:t>; Table 3). Its denominator is five families x 32 seeds x two prevalence cells (</w:t>
      </w:r>
      <w:r>
        <w:rPr>
          <w:rFonts w:ascii="Courier New" w:hAnsi="Courier New" w:eastAsia="Courier New" w:cs="Courier New"/>
          <w:color w:val="000000"/>
          <w:sz w:val="22"/>
        </w:rPr>
        <w:t>n=320</w:t>
      </w:r>
      <w:r>
        <w:rPr>
          <w:rFonts w:ascii="Times New Roman" w:hAnsi="Times New Roman" w:eastAsia="Times New Roman" w:cs="Times New Roman"/>
          <w:color w:val="000000"/>
          <w:sz w:val="24"/>
        </w:rPr>
        <w:t>), not 320 independent campaigns. Inflation was selected without the held-out family. The analogous three-round positive volume claim was withdrawn after extension to 32 seeds.</w:t>
      </w:r>
    </w:p>
    <w:p>
      <w:pPr>
        <w:widowControl/>
      </w:pPr>
      <w:r>
        <w:rPr>
          <w:rFonts w:ascii="Times New Roman" w:hAnsi="Times New Roman" w:eastAsia="Times New Roman" w:cs="Times New Roman"/>
          <w:color w:val="000000"/>
          <w:sz w:val="24"/>
        </w:rPr>
        <w:t>At three rounds, SPADE had lower regret than one-shot LHS (</w:t>
      </w:r>
      <w:r>
        <w:rPr>
          <w:rFonts w:ascii="Courier New" w:hAnsi="Courier New" w:eastAsia="Courier New" w:cs="Courier New"/>
          <w:color w:val="000000"/>
          <w:sz w:val="22"/>
        </w:rPr>
        <w:t>-0.0783</w:t>
      </w:r>
      <w:r>
        <w:rPr>
          <w:rFonts w:ascii="Times New Roman" w:hAnsi="Times New Roman" w:eastAsia="Times New Roman" w:cs="Times New Roman"/>
          <w:color w:val="000000"/>
          <w:sz w:val="24"/>
        </w:rPr>
        <w:t xml:space="preserve">, 95% CI </w:t>
      </w:r>
      <w:r>
        <w:rPr>
          <w:rFonts w:ascii="Courier New" w:hAnsi="Courier New" w:eastAsia="Courier New" w:cs="Courier New"/>
          <w:color w:val="000000"/>
          <w:sz w:val="22"/>
        </w:rPr>
        <w:t>[-0.1104,-0.0490]</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2"/>
        </w:rPr>
        <w:t>n=80</w:t>
      </w:r>
      <w:r>
        <w:rPr>
          <w:rFonts w:ascii="Times New Roman" w:hAnsi="Times New Roman" w:eastAsia="Times New Roman" w:cs="Times New Roman"/>
          <w:color w:val="000000"/>
          <w:sz w:val="24"/>
        </w:rPr>
        <w:t>; Table 3). The denominator is four named families x 20 common seeds. This supports the frozen adaptive-versus-one-shot comparison, not a general claim that sequential design improves every outcome.</w:t>
      </w:r>
    </w:p>
    <w:p>
      <w:pPr>
        <w:pStyle w:val="Heading2"/>
        <w:widowControl/>
      </w:pPr>
      <w:r>
        <w:rPr>
          <w:rFonts w:ascii="Times New Roman" w:hAnsi="Times New Roman" w:eastAsia="Times New Roman" w:cs="Times New Roman"/>
          <w:color w:val="000000"/>
          <w:sz w:val="24"/>
        </w:rPr>
        <w:t>3.3 DoE traded regional containment for faster point optimization</w:t>
      </w:r>
    </w:p>
    <w:p>
      <w:pPr>
        <w:widowControl/>
      </w:pPr>
      <w:r>
        <w:rPr>
          <w:rFonts w:ascii="Times New Roman" w:hAnsi="Times New Roman" w:eastAsia="Times New Roman" w:cs="Times New Roman"/>
          <w:color w:val="000000"/>
          <w:sz w:val="24"/>
        </w:rPr>
        <w:t xml:space="preserve">Screened DoE R3 found a better recipe than SPADE R5: SPADE-minus-DoE regret was </w:t>
      </w:r>
      <w:r>
        <w:rPr>
          <w:rFonts w:ascii="Courier New" w:hAnsi="Courier New" w:eastAsia="Courier New" w:cs="Courier New"/>
          <w:color w:val="000000"/>
          <w:sz w:val="22"/>
        </w:rPr>
        <w:t>+0.1026</w:t>
      </w:r>
      <w:r>
        <w:rPr>
          <w:rFonts w:ascii="Times New Roman" w:hAnsi="Times New Roman" w:eastAsia="Times New Roman" w:cs="Times New Roman"/>
          <w:color w:val="000000"/>
          <w:sz w:val="24"/>
        </w:rPr>
        <w:t xml:space="preserve"> (95% CI </w:t>
      </w:r>
      <w:r>
        <w:rPr>
          <w:rFonts w:ascii="Courier New" w:hAnsi="Courier New" w:eastAsia="Courier New" w:cs="Courier New"/>
          <w:color w:val="000000"/>
          <w:sz w:val="22"/>
        </w:rPr>
        <w:t>[+0.0486,+0.1578]</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2"/>
        </w:rPr>
        <w:t>p=0.0003</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2"/>
        </w:rPr>
        <w:t>n=160</w:t>
      </w:r>
      <w:r>
        <w:rPr>
          <w:rFonts w:ascii="Times New Roman" w:hAnsi="Times New Roman" w:eastAsia="Times New Roman" w:cs="Times New Roman"/>
          <w:color w:val="000000"/>
          <w:sz w:val="24"/>
        </w:rPr>
        <w:t xml:space="preserve">). At prevalence 0.30, noise 0.25, </w:t>
      </w:r>
      <w:r>
        <w:rPr>
          <w:rFonts w:ascii="Courier New" w:hAnsi="Courier New" w:eastAsia="Courier New" w:cs="Courier New"/>
          <w:color w:val="000000"/>
          <w:sz w:val="22"/>
        </w:rPr>
        <w:t>alpha=0.95</w:t>
      </w:r>
      <w:r>
        <w:rPr>
          <w:rFonts w:ascii="Times New Roman" w:hAnsi="Times New Roman" w:eastAsia="Times New Roman" w:cs="Times New Roman"/>
          <w:color w:val="000000"/>
          <w:sz w:val="24"/>
        </w:rPr>
        <w:t xml:space="preserve">, 48 wells, and five families x 32 seeds, SPADE selected </w:t>
      </w:r>
      <w:r>
        <w:rPr>
          <w:rFonts w:ascii="Courier New" w:hAnsi="Courier New" w:eastAsia="Courier New" w:cs="Courier New"/>
          <w:color w:val="000000"/>
          <w:sz w:val="22"/>
        </w:rPr>
        <w:t>c=1</w:t>
      </w:r>
      <w:r>
        <w:rPr>
          <w:rFonts w:ascii="Times New Roman" w:hAnsi="Times New Roman" w:eastAsia="Times New Roman" w:cs="Times New Roman"/>
          <w:color w:val="000000"/>
          <w:sz w:val="24"/>
        </w:rPr>
        <w:t xml:space="preserve">, answered 66/160, and contained truth in 66/66. Neither DoE arm passed at any tested inflation, so its diagnostic counts are reported at baseline </w:t>
      </w:r>
      <w:r>
        <w:rPr>
          <w:rFonts w:ascii="Courier New" w:hAnsi="Courier New" w:eastAsia="Courier New" w:cs="Courier New"/>
          <w:color w:val="000000"/>
          <w:sz w:val="22"/>
        </w:rPr>
        <w:t>c=1</w:t>
      </w:r>
      <w:r>
        <w:rPr>
          <w:rFonts w:ascii="Times New Roman" w:hAnsi="Times New Roman" w:eastAsia="Times New Roman" w:cs="Times New Roman"/>
          <w:color w:val="000000"/>
          <w:sz w:val="24"/>
        </w:rPr>
        <w:t>: screened DoE answered 122/160 and contained 85/122; unscreened DoE answered 134/160 and contained 77/134 (Table 3). Removing screening did not repair the low observed conditional containment despite frequent answers. Because SPADE inflation was selected and evaluated within the same DC cells and the DoE rows are fallback diagnostics, these are in-sample descriptive results, not transportable 95% coverage or an indictment of DoE as a class.</w:t>
      </w:r>
    </w:p>
    <w:p>
      <w:pPr>
        <w:pStyle w:val="Heading2"/>
        <w:widowControl/>
      </w:pPr>
      <w:r>
        <w:rPr>
          <w:rFonts w:ascii="Times New Roman" w:hAnsi="Times New Roman" w:eastAsia="Times New Roman" w:cs="Times New Roman"/>
          <w:color w:val="000000"/>
          <w:sz w:val="24"/>
        </w:rPr>
        <w:t>3.4 Certifiability and margin-to-noise</w:t>
      </w:r>
    </w:p>
    <w:p>
      <w:pPr>
        <w:widowControl/>
      </w:pPr>
      <w:r>
        <w:rPr>
          <w:rFonts w:ascii="Times New Roman" w:hAnsi="Times New Roman" w:eastAsia="Times New Roman" w:cs="Times New Roman"/>
          <w:color w:val="000000"/>
          <w:sz w:val="24"/>
        </w:rPr>
        <w:t xml:space="preserve">Across five families and prevalences 0.70, 0.50, 0.30, 0.20, and 0.10, SPADE answer rate at </w:t>
      </w:r>
      <w:r>
        <w:rPr>
          <w:rFonts w:ascii="Courier New" w:hAnsi="Courier New" w:eastAsia="Courier New" w:cs="Courier New"/>
          <w:color w:val="000000"/>
          <w:sz w:val="22"/>
        </w:rPr>
        <w:t>c=1.0</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2"/>
        </w:rPr>
        <w:t>alpha=0.95</w:t>
      </w:r>
      <w:r>
        <w:rPr>
          <w:rFonts w:ascii="Times New Roman" w:hAnsi="Times New Roman" w:eastAsia="Times New Roman" w:cs="Times New Roman"/>
          <w:color w:val="000000"/>
          <w:sz w:val="24"/>
        </w:rPr>
        <w:t xml:space="preserve"> was descriptively associated with the mean of 64 unique seed-specific true margin-to-noise values (rho </w:t>
      </w:r>
      <w:r>
        <w:rPr>
          <w:rFonts w:ascii="Courier New" w:hAnsi="Courier New" w:eastAsia="Courier New" w:cs="Courier New"/>
          <w:color w:val="000000"/>
          <w:sz w:val="22"/>
        </w:rPr>
        <w:t>0.9880098603</w:t>
      </w:r>
      <w:r>
        <w:rPr>
          <w:rFonts w:ascii="Times New Roman" w:hAnsi="Times New Roman" w:eastAsia="Times New Roman" w:cs="Times New Roman"/>
          <w:color w:val="000000"/>
          <w:sz w:val="24"/>
        </w:rPr>
        <w:t xml:space="preserve">; 25 nested cells; Table 3). Median-margin rho was identical; qLogNEI sensitivity was </w:t>
      </w:r>
      <w:r>
        <w:rPr>
          <w:rFonts w:ascii="Courier New" w:hAnsi="Courier New" w:eastAsia="Courier New" w:cs="Courier New"/>
          <w:color w:val="000000"/>
          <w:sz w:val="22"/>
        </w:rPr>
        <w:t>0.9682461469</w:t>
      </w:r>
      <w:r>
        <w:rPr>
          <w:rFonts w:ascii="Times New Roman" w:hAnsi="Times New Roman" w:eastAsia="Times New Roman" w:cs="Times New Roman"/>
          <w:color w:val="000000"/>
          <w:sz w:val="24"/>
        </w:rPr>
        <w:t>. Shared families and prevalences make cells dependent and nonexchangeable; no naive correlation p-value is reported. Margin-to-noise uses latent truth and is not a prospective diagnostic.</w:t>
      </w:r>
    </w:p>
    <w:p>
      <w:pPr>
        <w:widowControl/>
      </w:pPr>
      <w:r>
        <w:rPr>
          <w:rFonts w:ascii="Times New Roman" w:hAnsi="Times New Roman" w:eastAsia="Times New Roman" w:cs="Times New Roman"/>
          <w:color w:val="000000"/>
          <w:sz w:val="24"/>
        </w:rPr>
        <w:t xml:space="preserve">The biology-shaped but synthetic Hill family remained within the analysis. At prevalence 0.70, 48 wells, R5, 64 seeds, noise 0.25, </w:t>
      </w:r>
      <w:r>
        <w:rPr>
          <w:rFonts w:ascii="Courier New" w:hAnsi="Courier New" w:eastAsia="Courier New" w:cs="Courier New"/>
          <w:color w:val="000000"/>
          <w:sz w:val="22"/>
        </w:rPr>
        <w:t>alpha=0.95</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c=1.0</w:t>
      </w:r>
      <w:r>
        <w:rPr>
          <w:rFonts w:ascii="Times New Roman" w:hAnsi="Times New Roman" w:eastAsia="Times New Roman" w:cs="Times New Roman"/>
          <w:color w:val="000000"/>
          <w:sz w:val="24"/>
        </w:rPr>
        <w:t xml:space="preserve">, SPADE answered 40/64 and contained truth in 40/40 (LB </w:t>
      </w:r>
      <w:r>
        <w:rPr>
          <w:rFonts w:ascii="Courier New" w:hAnsi="Courier New" w:eastAsia="Courier New" w:cs="Courier New"/>
          <w:color w:val="000000"/>
          <w:sz w:val="22"/>
        </w:rPr>
        <w:t>0.9278</w:t>
      </w:r>
      <w:r>
        <w:rPr>
          <w:rFonts w:ascii="Times New Roman" w:hAnsi="Times New Roman" w:eastAsia="Times New Roman" w:cs="Times New Roman"/>
          <w:color w:val="000000"/>
          <w:sz w:val="24"/>
        </w:rPr>
        <w:t>). qLogNEI answered 27/64 and contained 27/27. The limitation was answer count under the registered gate, not inability of BO to return contained regions.</w:t>
      </w:r>
    </w:p>
    <w:p>
      <w:pPr>
        <w:pStyle w:val="Heading2"/>
        <w:widowControl/>
      </w:pPr>
      <w:r>
        <w:rPr>
          <w:rFonts w:ascii="Times New Roman" w:hAnsi="Times New Roman" w:eastAsia="Times New Roman" w:cs="Times New Roman"/>
          <w:color w:val="000000"/>
          <w:sz w:val="24"/>
        </w:rPr>
        <w:t>3.5 A plausible mechanism failed</w:t>
      </w:r>
    </w:p>
    <w:p>
      <w:pPr>
        <w:widowControl/>
      </w:pPr>
      <w:r>
        <w:rPr>
          <w:rFonts w:ascii="Times New Roman" w:hAnsi="Times New Roman" w:eastAsia="Times New Roman" w:cs="Times New Roman"/>
          <w:color w:val="000000"/>
          <w:sz w:val="24"/>
        </w:rPr>
        <w:t xml:space="preserve">Target-aligning the acquisition changed volume by </w:t>
      </w:r>
      <w:r>
        <w:rPr>
          <w:rFonts w:ascii="Courier New" w:hAnsi="Courier New" w:eastAsia="Courier New" w:cs="Courier New"/>
          <w:color w:val="000000"/>
          <w:sz w:val="22"/>
        </w:rPr>
        <w:t>+0.000425</w:t>
      </w:r>
      <w:r>
        <w:rPr>
          <w:rFonts w:ascii="Times New Roman" w:hAnsi="Times New Roman" w:eastAsia="Times New Roman" w:cs="Times New Roman"/>
          <w:color w:val="000000"/>
          <w:sz w:val="24"/>
        </w:rPr>
        <w:t xml:space="preserve"> (95% CI </w:t>
      </w:r>
      <w:r>
        <w:rPr>
          <w:rFonts w:ascii="Courier New" w:hAnsi="Courier New" w:eastAsia="Courier New" w:cs="Courier New"/>
          <w:color w:val="000000"/>
          <w:sz w:val="22"/>
        </w:rPr>
        <w:t>[-0.000022,+0.000875]</w:t>
      </w:r>
      <w:r>
        <w:rPr>
          <w:rFonts w:ascii="Times New Roman" w:hAnsi="Times New Roman" w:eastAsia="Times New Roman" w:cs="Times New Roman"/>
          <w:color w:val="000000"/>
          <w:sz w:val="24"/>
        </w:rPr>
        <w:t xml:space="preserve">) and worsened regret by </w:t>
      </w:r>
      <w:r>
        <w:rPr>
          <w:rFonts w:ascii="Courier New" w:hAnsi="Courier New" w:eastAsia="Courier New" w:cs="Courier New"/>
          <w:color w:val="000000"/>
          <w:sz w:val="22"/>
        </w:rPr>
        <w:t>+0.0301</w:t>
      </w:r>
      <w:r>
        <w:rPr>
          <w:rFonts w:ascii="Times New Roman" w:hAnsi="Times New Roman" w:eastAsia="Times New Roman" w:cs="Times New Roman"/>
          <w:color w:val="000000"/>
          <w:sz w:val="24"/>
        </w:rPr>
        <w:t xml:space="preserve"> (95% CI </w:t>
      </w:r>
      <w:r>
        <w:rPr>
          <w:rFonts w:ascii="Courier New" w:hAnsi="Courier New" w:eastAsia="Courier New" w:cs="Courier New"/>
          <w:color w:val="000000"/>
          <w:sz w:val="22"/>
        </w:rPr>
        <w:t>[+0.0169,+0.0450]</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2"/>
        </w:rPr>
        <w:t>p&lt;0.0001</w:t>
      </w:r>
      <w:r>
        <w:rPr>
          <w:rFonts w:ascii="Times New Roman" w:hAnsi="Times New Roman" w:eastAsia="Times New Roman" w:cs="Times New Roman"/>
          <w:color w:val="000000"/>
          <w:sz w:val="24"/>
        </w:rPr>
        <w:t>; Table 3). Hartmann6 improved and Ackley worsened, cancelling in aggregate. The mechanism did not earn adoption.</w:t>
      </w:r>
    </w:p>
    <w:p>
      <w:pPr>
        <w:pStyle w:val="Heading2"/>
        <w:widowControl/>
      </w:pPr>
      <w:r>
        <w:rPr>
          <w:rFonts w:ascii="Times New Roman" w:hAnsi="Times New Roman" w:eastAsia="Times New Roman" w:cs="Times New Roman"/>
          <w:color w:val="000000"/>
          <w:sz w:val="24"/>
        </w:rPr>
        <w:t>3.6 Real-cell support</w:t>
      </w:r>
    </w:p>
    <w:p>
      <w:pPr>
        <w:widowControl/>
      </w:pPr>
      <w:r>
        <w:rPr>
          <w:rFonts w:ascii="Times New Roman" w:hAnsi="Times New Roman" w:eastAsia="Times New Roman" w:cs="Times New Roman"/>
          <w:color w:val="000000"/>
          <w:sz w:val="24"/>
        </w:rPr>
        <w:t xml:space="preserve">Mean marginalization increased the mean posterior marginal SD over the candidate grid by </w:t>
      </w:r>
      <w:r>
        <w:rPr>
          <w:rFonts w:ascii="Courier New" w:hAnsi="Courier New" w:eastAsia="Courier New" w:cs="Courier New"/>
          <w:color w:val="000000"/>
          <w:sz w:val="22"/>
        </w:rPr>
        <w:t>484x</w:t>
      </w:r>
      <w:r>
        <w:rPr>
          <w:rFonts w:ascii="Times New Roman" w:hAnsi="Times New Roman" w:eastAsia="Times New Roman" w:cs="Times New Roman"/>
          <w:color w:val="000000"/>
          <w:sz w:val="24"/>
        </w:rPr>
        <w:t xml:space="preserve"> in-house and </w:t>
      </w:r>
      <w:r>
        <w:rPr>
          <w:rFonts w:ascii="Courier New" w:hAnsi="Courier New" w:eastAsia="Courier New" w:cs="Courier New"/>
          <w:color w:val="000000"/>
          <w:sz w:val="22"/>
        </w:rPr>
        <w:t>297x</w:t>
      </w:r>
      <w:r>
        <w:rPr>
          <w:rFonts w:ascii="Times New Roman" w:hAnsi="Times New Roman" w:eastAsia="Times New Roman" w:cs="Times New Roman"/>
          <w:color w:val="000000"/>
          <w:sz w:val="24"/>
        </w:rPr>
        <w:t xml:space="preserve"> in Hall--Ogle [23], versus </w:t>
      </w:r>
      <w:r>
        <w:rPr>
          <w:rFonts w:ascii="Courier New" w:hAnsi="Courier New" w:eastAsia="Courier New" w:cs="Courier New"/>
          <w:color w:val="000000"/>
          <w:sz w:val="22"/>
        </w:rPr>
        <w:t>1.004x--1.011x</w:t>
      </w:r>
      <w:r>
        <w:rPr>
          <w:rFonts w:ascii="Times New Roman" w:hAnsi="Times New Roman" w:eastAsia="Times New Roman" w:cs="Times New Roman"/>
          <w:color w:val="000000"/>
          <w:sz w:val="24"/>
        </w:rPr>
        <w:t xml:space="preserve"> in synthetic diagnostics. Observation-prediction LOO inflation differed (</w:t>
      </w:r>
      <w:r>
        <w:rPr>
          <w:rFonts w:ascii="Courier New" w:hAnsi="Courier New" w:eastAsia="Courier New" w:cs="Courier New"/>
          <w:color w:val="000000"/>
          <w:sz w:val="22"/>
        </w:rPr>
        <w:t>c=0.712</w:t>
      </w:r>
      <w:r>
        <w:rPr>
          <w:rFonts w:ascii="Times New Roman" w:hAnsi="Times New Roman" w:eastAsia="Times New Roman" w:cs="Times New Roman"/>
          <w:color w:val="000000"/>
          <w:sz w:val="24"/>
        </w:rPr>
        <w:t xml:space="preserve"> in-house; </w:t>
      </w:r>
      <w:r>
        <w:rPr>
          <w:rFonts w:ascii="Courier New" w:hAnsi="Courier New" w:eastAsia="Courier New" w:cs="Courier New"/>
          <w:color w:val="000000"/>
          <w:sz w:val="22"/>
        </w:rPr>
        <w:t>c=0.526</w:t>
      </w:r>
      <w:r>
        <w:rPr>
          <w:rFonts w:ascii="Times New Roman" w:hAnsi="Times New Roman" w:eastAsia="Times New Roman" w:cs="Times New Roman"/>
          <w:color w:val="000000"/>
          <w:sz w:val="24"/>
        </w:rPr>
        <w:t xml:space="preserve"> published). These are retrospective, stdout-reproduced support without structured result objects or automated numerical guards. In-house gates remain </w:t>
      </w:r>
      <w:r>
        <w:rPr>
          <w:rFonts w:ascii="Courier New" w:hAnsi="Courier New" w:eastAsia="Courier New" w:cs="Courier New"/>
          <w:color w:val="000000"/>
          <w:sz w:val="22"/>
        </w:rPr>
        <w:t>awaiting_human_signoff</w:t>
      </w:r>
      <w:r>
        <w:rPr>
          <w:rFonts w:ascii="Times New Roman" w:hAnsi="Times New Roman" w:eastAsia="Times New Roman" w:cs="Times New Roman"/>
          <w:color w:val="000000"/>
          <w:sz w:val="24"/>
        </w:rPr>
        <w:t>; neither dataset is a prospective SPADE campaign.</w:t>
      </w:r>
    </w:p>
    <w:p>
      <w:pPr>
        <w:pStyle w:val="Heading1"/>
        <w:widowControl/>
      </w:pPr>
      <w:r>
        <w:rPr>
          <w:rFonts w:ascii="Times New Roman" w:hAnsi="Times New Roman" w:eastAsia="Times New Roman" w:cs="Times New Roman"/>
          <w:color w:val="000000"/>
          <w:sz w:val="24"/>
        </w:rPr>
        <w:t>4. Discussion</w:t>
      </w:r>
    </w:p>
    <w:p>
      <w:pPr>
        <w:widowControl/>
      </w:pPr>
      <w:r>
        <w:rPr>
          <w:rFonts w:ascii="Times New Roman" w:hAnsi="Times New Roman" w:eastAsia="Times New Roman" w:cs="Times New Roman"/>
          <w:color w:val="000000"/>
          <w:sz w:val="24"/>
        </w:rPr>
        <w:t>This study separates point optimization from a conditional regional decision. With 48 wells, screened DoE found a better point recipe in fewer rounds, and qLogNEI showed no detectable regret difference from SPADE. SPADE instead yielded greater conservative-set volume at matched five rounds and perfect observed containment among its answered DC regions. Optimization and certification are complementary objectives, not one ranking.</w:t>
      </w:r>
    </w:p>
    <w:p>
      <w:pPr>
        <w:widowControl/>
      </w:pPr>
      <w:r>
        <w:rPr>
          <w:rFonts w:ascii="Times New Roman" w:hAnsi="Times New Roman" w:eastAsia="Times New Roman" w:cs="Times New Roman"/>
          <w:color w:val="000000"/>
          <w:sz w:val="24"/>
        </w:rPr>
        <w:t xml:space="preserve">The core mathematics is prior art. GP level-set learning, batch SUR, random excursion sets, Vorob'ev summaries, and simultaneous excursion probabilities are established [1--8]. Azzimonti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[4] are especially close: their estimator already maximizes volume over nested Vorob'ev candidates under posterior set inclusion. SPADE's contribution is the fixed-well assay adaptation, empirical inflation protocols, common comparator scoring, explicit abstention, and bounded evaluation.</w:t>
      </w:r>
    </w:p>
    <w:p>
      <w:pPr>
        <w:widowControl/>
      </w:pPr>
      <w:r>
        <w:rPr>
          <w:rFonts w:ascii="Times New Roman" w:hAnsi="Times New Roman" w:eastAsia="Times New Roman" w:cs="Times New Roman"/>
          <w:color w:val="000000"/>
          <w:sz w:val="24"/>
        </w:rPr>
        <w:t>Abstention is central. Perfect containment can coexist with few answers, while frequent answers can be over-confident. Hill shows why answered and contained counts must travel together: qLogNEI's 27/27 contained answers do not support saying BO could not certify. This reporting follows established rejection principles [21,22] without claiming abstention as novel.</w:t>
      </w:r>
    </w:p>
    <w:p>
      <w:pPr>
        <w:widowControl/>
      </w:pPr>
      <w:r>
        <w:rPr>
          <w:rFonts w:ascii="Times New Roman" w:hAnsi="Times New Roman" w:eastAsia="Times New Roman" w:cs="Times New Roman"/>
          <w:color w:val="000000"/>
          <w:sz w:val="24"/>
        </w:rPr>
        <w:t xml:space="preserve">Inference remains conditional. LC/C3 holds out a family for inflation selection. DC/C2 selects SPADE's </w:t>
      </w:r>
      <w:r>
        <w:rPr>
          <w:rFonts w:ascii="Courier New" w:hAnsi="Courier New" w:eastAsia="Courier New" w:cs="Courier New"/>
          <w:color w:val="000000"/>
          <w:sz w:val="22"/>
        </w:rPr>
        <w:t>c=1</w:t>
      </w:r>
      <w:r>
        <w:rPr>
          <w:rFonts w:ascii="Times New Roman" w:hAnsi="Times New Roman" w:eastAsia="Times New Roman" w:cs="Times New Roman"/>
          <w:color w:val="000000"/>
          <w:sz w:val="24"/>
        </w:rPr>
        <w:t xml:space="preserve"> in the same data, while neither DoE arm passes and both are diagnosed at baseline </w:t>
      </w:r>
      <w:r>
        <w:rPr>
          <w:rFonts w:ascii="Courier New" w:hAnsi="Courier New" w:eastAsia="Courier New" w:cs="Courier New"/>
          <w:color w:val="000000"/>
          <w:sz w:val="22"/>
        </w:rPr>
        <w:t>c=1</w:t>
      </w:r>
      <w:r>
        <w:rPr>
          <w:rFonts w:ascii="Times New Roman" w:hAnsi="Times New Roman" w:eastAsia="Times New Roman" w:cs="Times New Roman"/>
          <w:color w:val="000000"/>
          <w:sz w:val="24"/>
        </w:rPr>
        <w:t>. Neither procedure converts nominal posterior assurance into repeated-campaign coverage. Flat bootstrap rows share families, landscapes, seeds, and prevalences, while pooled Clopper--Pearson summaries assume an ordinary binomial model [20]. Cluster- or hierarchy-aware analyses are needed for population claims.</w:t>
      </w:r>
    </w:p>
    <w:p>
      <w:pPr>
        <w:widowControl/>
      </w:pPr>
      <w:r>
        <w:rPr>
          <w:rFonts w:ascii="Times New Roman" w:hAnsi="Times New Roman" w:eastAsia="Times New Roman" w:cs="Times New Roman"/>
          <w:color w:val="000000"/>
          <w:sz w:val="24"/>
        </w:rPr>
        <w:t>The failed target-aligned mechanism shows that plausibility did not translate to aggregate benefit and harmed regret. It argues against complexity without empirical adoption criteria. Noise is the main biological barrier: headline benchmarks use relative noise 0.25, whereas no tested arm certified near measured real-assay noise 0.68 in the retained exploratory ceiling analysis. Hill was not fitted to endothelial data; in-house CD31 gates await review; and LOO prediction does not identify latent-function uncertainty. Replicate tubes and a prospective prespecified campaign are required.</w:t>
      </w:r>
    </w:p>
    <w:p>
      <w:pPr>
        <w:widowControl/>
      </w:pPr>
      <w:r>
        <w:rPr>
          <w:rFonts w:ascii="Times New Roman" w:hAnsi="Times New Roman" w:eastAsia="Times New Roman" w:cs="Times New Roman"/>
          <w:color w:val="000000"/>
          <w:sz w:val="24"/>
        </w:rPr>
        <w:t>Comparator and operational scope are limited. qLogNEI is one BO acquisition. The DoE comparator is one low-order workflow. Wells were constant but rounds ranged from one to ten; operational benefit cannot be inferred without measured time or cost. R4, broader assurance/Vorob'ev-level sweeps, larger budgets, new families/noise regimes, and continuous-domain validation remain open. The returned object is a candidate operating region, not an ICH/FDA-qualified design space, process validation, or control strategy [15,16].</w:t>
      </w:r>
    </w:p>
    <w:p>
      <w:pPr>
        <w:pStyle w:val="Heading1"/>
        <w:widowControl/>
      </w:pPr>
      <w:r>
        <w:rPr>
          <w:rFonts w:ascii="Times New Roman" w:hAnsi="Times New Roman" w:eastAsia="Times New Roman" w:cs="Times New Roman"/>
          <w:color w:val="000000"/>
          <w:sz w:val="24"/>
        </w:rPr>
        <w:t>5. Conclusion</w:t>
      </w:r>
    </w:p>
    <w:p>
      <w:pPr>
        <w:widowControl/>
      </w:pPr>
      <w:r>
        <w:rPr>
          <w:rFonts w:ascii="Times New Roman" w:hAnsi="Times New Roman" w:eastAsia="Times New Roman" w:cs="Times New Roman"/>
          <w:color w:val="000000"/>
          <w:sz w:val="24"/>
        </w:rPr>
        <w:t>At 48 wells and relative noise 0.25, SPADE showed no detectable regret difference from one qLogNEI implementation, returned greater conservative-set volume at matched five rounds, and showed perfect observed containment among answered regions where the tested DoE pipelines were over-confident. DoE nevertheless found a better point recipe in fewer rounds, and SPADE sometimes abstained. The bounded lesson is to distinguish point optimization from regional certification, permit an empty answer, and report answer rate with conditional containment. Prospective biological validation and dependence-aware inference remain necessary.</w:t>
      </w:r>
    </w:p>
    <w:p>
      <w:pPr>
        <w:pStyle w:val="Heading1"/>
        <w:widowControl/>
      </w:pPr>
      <w:r>
        <w:rPr>
          <w:rFonts w:ascii="Times New Roman" w:hAnsi="Times New Roman" w:eastAsia="Times New Roman" w:cs="Times New Roman"/>
          <w:color w:val="000000"/>
          <w:sz w:val="24"/>
        </w:rPr>
        <w:t>Data and code availability</w:t>
      </w:r>
    </w:p>
    <w:p>
      <w:pPr>
        <w:widowControl/>
      </w:pPr>
      <w:r>
        <w:rPr>
          <w:rFonts w:ascii="Times New Roman" w:hAnsi="Times New Roman" w:eastAsia="Times New Roman" w:cs="Times New Roman"/>
          <w:color w:val="000000"/>
          <w:sz w:val="24"/>
        </w:rPr>
        <w:t xml:space="preserve">Canonical synthetic results, frozen protocols, analysis scripts, selected-value guard, and audit ledgers are included in this repository; commands are listed in </w:t>
      </w:r>
      <w:r>
        <w:rPr>
          <w:rFonts w:ascii="Courier New" w:hAnsi="Courier New" w:eastAsia="Courier New" w:cs="Courier New"/>
          <w:color w:val="000000"/>
          <w:sz w:val="22"/>
        </w:rPr>
        <w:t>publication/evidence/reproduction-map.md</w:t>
      </w:r>
      <w:r>
        <w:rPr>
          <w:rFonts w:ascii="Times New Roman" w:hAnsi="Times New Roman" w:eastAsia="Times New Roman" w:cs="Times New Roman"/>
          <w:color w:val="000000"/>
          <w:sz w:val="24"/>
        </w:rPr>
        <w:t>. The guard covers selected C1 and C3--C6 scalars, not every number or inferential assumption. In-house data are retained with checksums and role annotations; access, reuse, licensing, and laboratory policy require author/institutional confirmation. Historical figures are not current evidence; the current figure package is pending.</w:t>
      </w:r>
    </w:p>
    <w:p>
      <w:pPr>
        <w:pStyle w:val="Heading1"/>
        <w:widowControl/>
      </w:pPr>
      <w:r>
        <w:rPr>
          <w:rFonts w:ascii="Times New Roman" w:hAnsi="Times New Roman" w:eastAsia="Times New Roman" w:cs="Times New Roman"/>
          <w:color w:val="000000"/>
          <w:sz w:val="24"/>
        </w:rPr>
        <w:t>Declarations requiring author or journal completion</w:t>
      </w:r>
    </w:p>
    <w:p>
      <w:pPr>
        <w:widowControl/>
      </w:pPr>
      <w:r>
        <w:rPr>
          <w:rFonts w:ascii="Times New Roman" w:hAnsi="Times New Roman" w:eastAsia="Times New Roman" w:cs="Times New Roman"/>
          <w:color w:val="000000"/>
          <w:sz w:val="24"/>
        </w:rPr>
        <w:t>The following metadata were not available and are not inferred:</w:t>
      </w:r>
    </w:p>
    <w:p>
      <w:pPr>
        <w:widowControl/>
      </w:pPr>
      <w:r>
        <w:rPr>
          <w:rFonts w:ascii="Times New Roman" w:hAnsi="Times New Roman" w:eastAsia="Times New Roman" w:cs="Times New Roman"/>
          <w:color w:val="000000"/>
          <w:sz w:val="24"/>
        </w:rPr>
        <w:t>- [ ] Authors, affiliations, corresponding author, and ORCIDs.</w:t>
      </w:r>
    </w:p>
    <w:p>
      <w:pPr>
        <w:widowControl/>
      </w:pPr>
      <w:r>
        <w:rPr>
          <w:rFonts w:ascii="Times New Roman" w:hAnsi="Times New Roman" w:eastAsia="Times New Roman" w:cs="Times New Roman"/>
          <w:color w:val="000000"/>
          <w:sz w:val="24"/>
        </w:rPr>
        <w:t>- [ ] CRediT contributions approved by all authors.</w:t>
      </w:r>
    </w:p>
    <w:p>
      <w:pPr>
        <w:widowControl/>
      </w:pPr>
      <w:r>
        <w:rPr>
          <w:rFonts w:ascii="Times New Roman" w:hAnsi="Times New Roman" w:eastAsia="Times New Roman" w:cs="Times New Roman"/>
          <w:color w:val="000000"/>
          <w:sz w:val="24"/>
        </w:rPr>
        <w:t>- [ ] Funding/grant identifiers or explicit no-funding statement.</w:t>
      </w:r>
    </w:p>
    <w:p>
      <w:pPr>
        <w:widowControl/>
      </w:pPr>
      <w:r>
        <w:rPr>
          <w:rFonts w:ascii="Times New Roman" w:hAnsi="Times New Roman" w:eastAsia="Times New Roman" w:cs="Times New Roman"/>
          <w:color w:val="000000"/>
          <w:sz w:val="24"/>
        </w:rPr>
        <w:t>- [ ] Competing interests for every author.</w:t>
      </w:r>
    </w:p>
    <w:p>
      <w:pPr>
        <w:widowControl/>
      </w:pPr>
      <w:r>
        <w:rPr>
          <w:rFonts w:ascii="Times New Roman" w:hAnsi="Times New Roman" w:eastAsia="Times New Roman" w:cs="Times New Roman"/>
          <w:color w:val="000000"/>
          <w:sz w:val="24"/>
        </w:rPr>
        <w:t>- [ ] Ethics oversight/approval or exemption for in-house human-derived cell material, and any required consent statement.</w:t>
      </w:r>
    </w:p>
    <w:p>
      <w:pPr>
        <w:widowControl/>
      </w:pPr>
      <w:r>
        <w:rPr>
          <w:rFonts w:ascii="Times New Roman" w:hAnsi="Times New Roman" w:eastAsia="Times New Roman" w:cs="Times New Roman"/>
          <w:color w:val="000000"/>
          <w:sz w:val="24"/>
        </w:rPr>
        <w:t>- [ ] Data restrictions, repository identifiers, and release license reconciled with laboratory policy.</w:t>
      </w:r>
    </w:p>
    <w:p>
      <w:pPr>
        <w:widowControl/>
      </w:pPr>
      <w:r>
        <w:rPr>
          <w:rFonts w:ascii="Times New Roman" w:hAnsi="Times New Roman" w:eastAsia="Times New Roman" w:cs="Times New Roman"/>
          <w:color w:val="000000"/>
          <w:sz w:val="24"/>
        </w:rPr>
        <w:t>- [ ] Code archive DOI/version, license, and submitted environment record.</w:t>
      </w:r>
    </w:p>
    <w:p>
      <w:pPr>
        <w:widowControl/>
      </w:pPr>
      <w:r>
        <w:rPr>
          <w:rFonts w:ascii="Times New Roman" w:hAnsi="Times New Roman" w:eastAsia="Times New Roman" w:cs="Times New Roman"/>
          <w:color w:val="000000"/>
          <w:sz w:val="24"/>
        </w:rPr>
        <w:t>- [ ] Acknowledgements, material-transfer terms, and third-party permissions.</w:t>
      </w:r>
    </w:p>
    <w:p>
      <w:pPr>
        <w:widowControl/>
      </w:pPr>
      <w:r>
        <w:rPr>
          <w:rFonts w:ascii="Times New Roman" w:hAnsi="Times New Roman" w:eastAsia="Times New Roman" w:cs="Times New Roman"/>
          <w:color w:val="000000"/>
          <w:sz w:val="24"/>
        </w:rPr>
        <w:t>- [ ] Target-journal AI-use, protocol-registration, reporting-guideline, and source-data statements.</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 xml:space="preserve">1. Gotovos A, Casati N, Hitz G, Krause A. Active learning for level set estimation. </w:t>
      </w:r>
      <w:r>
        <w:rPr>
          <w:rFonts w:ascii="Times New Roman" w:hAnsi="Times New Roman" w:eastAsia="Times New Roman" w:cs="Times New Roman"/>
          <w:i/>
          <w:color w:val="000000"/>
          <w:sz w:val="20"/>
        </w:rPr>
        <w:t>IJCAI</w:t>
      </w:r>
      <w:r>
        <w:rPr>
          <w:rFonts w:ascii="Times New Roman" w:hAnsi="Times New Roman" w:eastAsia="Times New Roman" w:cs="Times New Roman"/>
          <w:color w:val="000000"/>
          <w:sz w:val="20"/>
        </w:rPr>
        <w:t>. 2013:1344--1350. https://www.ijcai.org/Proceedings/13/Papers/202.pdf</w:t>
      </w:r>
    </w:p>
    <w:p>
      <w:pPr>
        <w:spacing w:line="240" w:lineRule="auto" w:after="80"/>
        <w:ind w:left="360" w:hanging="360"/>
      </w:pPr>
      <w:r>
        <w:rPr>
          <w:rFonts w:ascii="Times New Roman" w:hAnsi="Times New Roman" w:eastAsia="Times New Roman" w:cs="Times New Roman"/>
          <w:color w:val="000000"/>
          <w:sz w:val="20"/>
        </w:rPr>
        <w:t xml:space="preserve">2. Bect J, Ginsbourger D, Li L, Picheny V, Vazquez E. Sequential design of computer experiments for the estimation of a probability of failure. </w:t>
      </w:r>
      <w:r>
        <w:rPr>
          <w:rFonts w:ascii="Times New Roman" w:hAnsi="Times New Roman" w:eastAsia="Times New Roman" w:cs="Times New Roman"/>
          <w:i/>
          <w:color w:val="000000"/>
          <w:sz w:val="20"/>
        </w:rPr>
        <w:t>Stat Comput</w:t>
      </w:r>
      <w:r>
        <w:rPr>
          <w:rFonts w:ascii="Times New Roman" w:hAnsi="Times New Roman" w:eastAsia="Times New Roman" w:cs="Times New Roman"/>
          <w:color w:val="000000"/>
          <w:sz w:val="20"/>
        </w:rPr>
        <w:t>. 2012;22:773--793. https://doi.org/10.1007/s11222-011-9241-4</w:t>
      </w:r>
    </w:p>
    <w:p>
      <w:pPr>
        <w:spacing w:line="240" w:lineRule="auto" w:after="80"/>
        <w:ind w:left="360" w:hanging="360"/>
      </w:pPr>
      <w:r>
        <w:rPr>
          <w:rFonts w:ascii="Times New Roman" w:hAnsi="Times New Roman" w:eastAsia="Times New Roman" w:cs="Times New Roman"/>
          <w:color w:val="000000"/>
          <w:sz w:val="20"/>
        </w:rPr>
        <w:t xml:space="preserve">3. Chevalier C, Bect J, Ginsbourger D, et al. Fast parallel kriging-based stepwise uncertainty reduction with application to the identification of an excursion set. </w:t>
      </w:r>
      <w:r>
        <w:rPr>
          <w:rFonts w:ascii="Times New Roman" w:hAnsi="Times New Roman" w:eastAsia="Times New Roman" w:cs="Times New Roman"/>
          <w:i/>
          <w:color w:val="000000"/>
          <w:sz w:val="20"/>
        </w:rPr>
        <w:t>Technometrics</w:t>
      </w:r>
      <w:r>
        <w:rPr>
          <w:rFonts w:ascii="Times New Roman" w:hAnsi="Times New Roman" w:eastAsia="Times New Roman" w:cs="Times New Roman"/>
          <w:color w:val="000000"/>
          <w:sz w:val="20"/>
        </w:rPr>
        <w:t>. 2014;56:455--465. https://doi.org/10.1080/00401706.2013.860918</w:t>
      </w:r>
    </w:p>
    <w:p>
      <w:pPr>
        <w:spacing w:line="240" w:lineRule="auto" w:after="80"/>
        <w:ind w:left="360" w:hanging="360"/>
      </w:pPr>
      <w:r>
        <w:rPr>
          <w:rFonts w:ascii="Times New Roman" w:hAnsi="Times New Roman" w:eastAsia="Times New Roman" w:cs="Times New Roman"/>
          <w:color w:val="000000"/>
          <w:sz w:val="20"/>
        </w:rPr>
        <w:t xml:space="preserve">4. Azzimonti D, Ginsbourger D, Chevalier C, Bect J, Richet Y. Adaptive design of experiments for conservative estimation of excursion sets. </w:t>
      </w:r>
      <w:r>
        <w:rPr>
          <w:rFonts w:ascii="Times New Roman" w:hAnsi="Times New Roman" w:eastAsia="Times New Roman" w:cs="Times New Roman"/>
          <w:i/>
          <w:color w:val="000000"/>
          <w:sz w:val="20"/>
        </w:rPr>
        <w:t>Technometrics</w:t>
      </w:r>
      <w:r>
        <w:rPr>
          <w:rFonts w:ascii="Times New Roman" w:hAnsi="Times New Roman" w:eastAsia="Times New Roman" w:cs="Times New Roman"/>
          <w:color w:val="000000"/>
          <w:sz w:val="20"/>
        </w:rPr>
        <w:t>. 2021;63:13--26 (online 2019). https://doi.org/10.1080/00401706.2019.1693427</w:t>
      </w:r>
    </w:p>
    <w:p>
      <w:pPr>
        <w:spacing w:line="240" w:lineRule="auto" w:after="80"/>
        <w:ind w:left="360" w:hanging="360"/>
      </w:pPr>
      <w:r>
        <w:rPr>
          <w:rFonts w:ascii="Times New Roman" w:hAnsi="Times New Roman" w:eastAsia="Times New Roman" w:cs="Times New Roman"/>
          <w:color w:val="000000"/>
          <w:sz w:val="20"/>
        </w:rPr>
        <w:t xml:space="preserve">5. Heinrich P, Stoica RS, Tran VC. Level sets estimation and Vorob'ev expectation of random compact sets. </w:t>
      </w:r>
      <w:r>
        <w:rPr>
          <w:rFonts w:ascii="Times New Roman" w:hAnsi="Times New Roman" w:eastAsia="Times New Roman" w:cs="Times New Roman"/>
          <w:i/>
          <w:color w:val="000000"/>
          <w:sz w:val="20"/>
        </w:rPr>
        <w:t>Spatial Stat</w:t>
      </w:r>
      <w:r>
        <w:rPr>
          <w:rFonts w:ascii="Times New Roman" w:hAnsi="Times New Roman" w:eastAsia="Times New Roman" w:cs="Times New Roman"/>
          <w:color w:val="000000"/>
          <w:sz w:val="20"/>
        </w:rPr>
        <w:t>. 2012;2:47--61. https://doi.org/10.1016/j.spasta.2012.10.001</w:t>
      </w:r>
    </w:p>
    <w:p>
      <w:pPr>
        <w:spacing w:line="240" w:lineRule="auto" w:after="80"/>
        <w:ind w:left="360" w:hanging="360"/>
      </w:pPr>
      <w:r>
        <w:rPr>
          <w:rFonts w:ascii="Times New Roman" w:hAnsi="Times New Roman" w:eastAsia="Times New Roman" w:cs="Times New Roman"/>
          <w:color w:val="000000"/>
          <w:sz w:val="20"/>
        </w:rPr>
        <w:t xml:space="preserve">6. Chevalier C, Ginsbourger D, Bect J, Molchanov I. Estimating and quantifying uncertainties on level sets using the Vorob'ev expectation and deviation with Gaussian process models. In: </w:t>
      </w:r>
      <w:r>
        <w:rPr>
          <w:rFonts w:ascii="Times New Roman" w:hAnsi="Times New Roman" w:eastAsia="Times New Roman" w:cs="Times New Roman"/>
          <w:i/>
          <w:color w:val="000000"/>
          <w:sz w:val="20"/>
        </w:rPr>
        <w:t>mODa 10</w:t>
      </w:r>
      <w:r>
        <w:rPr>
          <w:rFonts w:ascii="Times New Roman" w:hAnsi="Times New Roman" w:eastAsia="Times New Roman" w:cs="Times New Roman"/>
          <w:color w:val="000000"/>
          <w:sz w:val="20"/>
        </w:rPr>
        <w:t>. Springer; 2013:35--43. https://doi.org/10.1007/978-3-319-00218-7_5</w:t>
      </w:r>
    </w:p>
    <w:p>
      <w:pPr>
        <w:spacing w:line="240" w:lineRule="auto" w:after="80"/>
        <w:ind w:left="360" w:hanging="360"/>
      </w:pPr>
      <w:r>
        <w:rPr>
          <w:rFonts w:ascii="Times New Roman" w:hAnsi="Times New Roman" w:eastAsia="Times New Roman" w:cs="Times New Roman"/>
          <w:color w:val="000000"/>
          <w:sz w:val="20"/>
        </w:rPr>
        <w:t xml:space="preserve">7. Azzimonti D, Bect J, Chevalier C, Ginsbourger D. Quantifying uncertainties on excursion sets under a Gaussian random field prior. </w:t>
      </w:r>
      <w:r>
        <w:rPr>
          <w:rFonts w:ascii="Times New Roman" w:hAnsi="Times New Roman" w:eastAsia="Times New Roman" w:cs="Times New Roman"/>
          <w:i/>
          <w:color w:val="000000"/>
          <w:sz w:val="20"/>
        </w:rPr>
        <w:t>SIAM/ASA J Uncertain Quantif</w:t>
      </w:r>
      <w:r>
        <w:rPr>
          <w:rFonts w:ascii="Times New Roman" w:hAnsi="Times New Roman" w:eastAsia="Times New Roman" w:cs="Times New Roman"/>
          <w:color w:val="000000"/>
          <w:sz w:val="20"/>
        </w:rPr>
        <w:t>. 2016;4:850--874. https://doi.org/10.1137/141000749</w:t>
      </w:r>
    </w:p>
    <w:p>
      <w:pPr>
        <w:spacing w:line="240" w:lineRule="auto" w:after="80"/>
        <w:ind w:left="360" w:hanging="360"/>
      </w:pPr>
      <w:r>
        <w:rPr>
          <w:rFonts w:ascii="Times New Roman" w:hAnsi="Times New Roman" w:eastAsia="Times New Roman" w:cs="Times New Roman"/>
          <w:color w:val="000000"/>
          <w:sz w:val="20"/>
        </w:rPr>
        <w:t xml:space="preserve">8. Bolin D, Lindgren F. Excursion and contour uncertainty regions for latent Gaussian models. </w:t>
      </w:r>
      <w:r>
        <w:rPr>
          <w:rFonts w:ascii="Times New Roman" w:hAnsi="Times New Roman" w:eastAsia="Times New Roman" w:cs="Times New Roman"/>
          <w:i/>
          <w:color w:val="000000"/>
          <w:sz w:val="20"/>
        </w:rPr>
        <w:t>J R Stat Soc B</w:t>
      </w:r>
      <w:r>
        <w:rPr>
          <w:rFonts w:ascii="Times New Roman" w:hAnsi="Times New Roman" w:eastAsia="Times New Roman" w:cs="Times New Roman"/>
          <w:color w:val="000000"/>
          <w:sz w:val="20"/>
        </w:rPr>
        <w:t>. 2015;77:85--106. https://doi.org/10.1111/rssb.12055</w:t>
      </w:r>
    </w:p>
    <w:p>
      <w:pPr>
        <w:spacing w:line="240" w:lineRule="auto" w:after="80"/>
        <w:ind w:left="360" w:hanging="360"/>
      </w:pPr>
      <w:r>
        <w:rPr>
          <w:rFonts w:ascii="Times New Roman" w:hAnsi="Times New Roman" w:eastAsia="Times New Roman" w:cs="Times New Roman"/>
          <w:color w:val="000000"/>
          <w:sz w:val="20"/>
        </w:rPr>
        <w:t xml:space="preserve">9. Jones DR, Schonlau M, Welch WJ. Efficient global optimization of expensive black-box functions. </w:t>
      </w:r>
      <w:r>
        <w:rPr>
          <w:rFonts w:ascii="Times New Roman" w:hAnsi="Times New Roman" w:eastAsia="Times New Roman" w:cs="Times New Roman"/>
          <w:i/>
          <w:color w:val="000000"/>
          <w:sz w:val="20"/>
        </w:rPr>
        <w:t>J Glob Optim</w:t>
      </w:r>
      <w:r>
        <w:rPr>
          <w:rFonts w:ascii="Times New Roman" w:hAnsi="Times New Roman" w:eastAsia="Times New Roman" w:cs="Times New Roman"/>
          <w:color w:val="000000"/>
          <w:sz w:val="20"/>
        </w:rPr>
        <w:t>. 1998;13:455--492. https://doi.org/10.1023/A:1008306431147</w:t>
      </w:r>
    </w:p>
    <w:p>
      <w:pPr>
        <w:spacing w:line="240" w:lineRule="auto" w:after="80"/>
        <w:ind w:left="360" w:hanging="360"/>
      </w:pPr>
      <w:r>
        <w:rPr>
          <w:rFonts w:ascii="Times New Roman" w:hAnsi="Times New Roman" w:eastAsia="Times New Roman" w:cs="Times New Roman"/>
          <w:color w:val="000000"/>
          <w:sz w:val="20"/>
        </w:rPr>
        <w:t xml:space="preserve">10. Letham B, Karrer B, Ottoni G, Bakshy E. Constrained Bayesian optimization with noisy experiments. </w:t>
      </w:r>
      <w:r>
        <w:rPr>
          <w:rFonts w:ascii="Times New Roman" w:hAnsi="Times New Roman" w:eastAsia="Times New Roman" w:cs="Times New Roman"/>
          <w:i/>
          <w:color w:val="000000"/>
          <w:sz w:val="20"/>
        </w:rPr>
        <w:t>Bayesian Anal</w:t>
      </w:r>
      <w:r>
        <w:rPr>
          <w:rFonts w:ascii="Times New Roman" w:hAnsi="Times New Roman" w:eastAsia="Times New Roman" w:cs="Times New Roman"/>
          <w:color w:val="000000"/>
          <w:sz w:val="20"/>
        </w:rPr>
        <w:t>. 2019;14:495--519. https://doi.org/10.1214/18-BA1110</w:t>
      </w:r>
    </w:p>
    <w:p>
      <w:pPr>
        <w:spacing w:line="240" w:lineRule="auto" w:after="80"/>
        <w:ind w:left="360" w:hanging="360"/>
      </w:pPr>
      <w:r>
        <w:rPr>
          <w:rFonts w:ascii="Times New Roman" w:hAnsi="Times New Roman" w:eastAsia="Times New Roman" w:cs="Times New Roman"/>
          <w:color w:val="000000"/>
          <w:sz w:val="20"/>
        </w:rPr>
        <w:t xml:space="preserve">11. Balandat M, Karrer B, Jiang DR, et al. BoTorch: a framework for efficient Monte-Carlo Bayesian optimization. </w:t>
      </w:r>
      <w:r>
        <w:rPr>
          <w:rFonts w:ascii="Times New Roman" w:hAnsi="Times New Roman" w:eastAsia="Times New Roman" w:cs="Times New Roman"/>
          <w:i/>
          <w:color w:val="000000"/>
          <w:sz w:val="20"/>
        </w:rPr>
        <w:t>NeurIPS</w:t>
      </w:r>
      <w:r>
        <w:rPr>
          <w:rFonts w:ascii="Times New Roman" w:hAnsi="Times New Roman" w:eastAsia="Times New Roman" w:cs="Times New Roman"/>
          <w:color w:val="000000"/>
          <w:sz w:val="20"/>
        </w:rPr>
        <w:t>. 2020;33:21524--21538.</w:t>
      </w:r>
    </w:p>
    <w:p>
      <w:pPr>
        <w:spacing w:line="240" w:lineRule="auto" w:after="80"/>
        <w:ind w:left="360" w:hanging="360"/>
      </w:pPr>
      <w:r>
        <w:rPr>
          <w:rFonts w:ascii="Times New Roman" w:hAnsi="Times New Roman" w:eastAsia="Times New Roman" w:cs="Times New Roman"/>
          <w:color w:val="000000"/>
          <w:sz w:val="20"/>
        </w:rPr>
        <w:t xml:space="preserve">12. Ament S, Daulton S, Eriksson D, Balandat M, Bakshy E. Unexpected improvements to expected improvement for Bayesian optimization. </w:t>
      </w:r>
      <w:r>
        <w:rPr>
          <w:rFonts w:ascii="Times New Roman" w:hAnsi="Times New Roman" w:eastAsia="Times New Roman" w:cs="Times New Roman"/>
          <w:i/>
          <w:color w:val="000000"/>
          <w:sz w:val="20"/>
        </w:rPr>
        <w:t>NeurIPS</w:t>
      </w:r>
      <w:r>
        <w:rPr>
          <w:rFonts w:ascii="Times New Roman" w:hAnsi="Times New Roman" w:eastAsia="Times New Roman" w:cs="Times New Roman"/>
          <w:color w:val="000000"/>
          <w:sz w:val="20"/>
        </w:rPr>
        <w:t>. 2023;36:20577--20612.</w:t>
      </w:r>
    </w:p>
    <w:p>
      <w:pPr>
        <w:spacing w:line="240" w:lineRule="auto" w:after="80"/>
        <w:ind w:left="360" w:hanging="360"/>
      </w:pPr>
      <w:r>
        <w:rPr>
          <w:rFonts w:ascii="Times New Roman" w:hAnsi="Times New Roman" w:eastAsia="Times New Roman" w:cs="Times New Roman"/>
          <w:color w:val="000000"/>
          <w:sz w:val="20"/>
        </w:rPr>
        <w:t xml:space="preserve">13. Box GEP, Wilson KB. On the experimental attainment of optimum conditions. </w:t>
      </w:r>
      <w:r>
        <w:rPr>
          <w:rFonts w:ascii="Times New Roman" w:hAnsi="Times New Roman" w:eastAsia="Times New Roman" w:cs="Times New Roman"/>
          <w:i/>
          <w:color w:val="000000"/>
          <w:sz w:val="20"/>
        </w:rPr>
        <w:t>J R Stat Soc B</w:t>
      </w:r>
      <w:r>
        <w:rPr>
          <w:rFonts w:ascii="Times New Roman" w:hAnsi="Times New Roman" w:eastAsia="Times New Roman" w:cs="Times New Roman"/>
          <w:color w:val="000000"/>
          <w:sz w:val="20"/>
        </w:rPr>
        <w:t>. 1951;13:1--38. https://doi.org/10.1111/j.2517-6161.1951.tb00067.x</w:t>
      </w:r>
    </w:p>
    <w:p>
      <w:pPr>
        <w:spacing w:line="240" w:lineRule="auto" w:after="80"/>
        <w:ind w:left="360" w:hanging="360"/>
      </w:pPr>
      <w:r>
        <w:rPr>
          <w:rFonts w:ascii="Times New Roman" w:hAnsi="Times New Roman" w:eastAsia="Times New Roman" w:cs="Times New Roman"/>
          <w:color w:val="000000"/>
          <w:sz w:val="20"/>
        </w:rPr>
        <w:t xml:space="preserve">14. National Institute of Standards and Technology. </w:t>
      </w:r>
      <w:r>
        <w:rPr>
          <w:rFonts w:ascii="Times New Roman" w:hAnsi="Times New Roman" w:eastAsia="Times New Roman" w:cs="Times New Roman"/>
          <w:i/>
          <w:color w:val="000000"/>
          <w:sz w:val="20"/>
        </w:rPr>
        <w:t>NIST/SEMATECH e-Handbook of Statistical Methods</w:t>
      </w:r>
      <w:r>
        <w:rPr>
          <w:rFonts w:ascii="Times New Roman" w:hAnsi="Times New Roman" w:eastAsia="Times New Roman" w:cs="Times New Roman"/>
          <w:color w:val="000000"/>
          <w:sz w:val="20"/>
        </w:rPr>
        <w:t>, sec. 5.3.3. Accessed 2026-09-02. https://www.itl.nist.gov/div898/handbook/pri/section3/pri33.htm</w:t>
      </w:r>
    </w:p>
    <w:p>
      <w:pPr>
        <w:spacing w:line="240" w:lineRule="auto" w:after="80"/>
        <w:ind w:left="360" w:hanging="360"/>
      </w:pPr>
      <w:r>
        <w:rPr>
          <w:rFonts w:ascii="Times New Roman" w:hAnsi="Times New Roman" w:eastAsia="Times New Roman" w:cs="Times New Roman"/>
          <w:color w:val="000000"/>
          <w:sz w:val="20"/>
        </w:rPr>
        <w:t xml:space="preserve">15. International Council for Harmonisation. </w:t>
      </w:r>
      <w:r>
        <w:rPr>
          <w:rFonts w:ascii="Times New Roman" w:hAnsi="Times New Roman" w:eastAsia="Times New Roman" w:cs="Times New Roman"/>
          <w:i/>
          <w:color w:val="000000"/>
          <w:sz w:val="20"/>
        </w:rPr>
        <w:t>ICH Q8(R2): Pharmaceutical Development</w:t>
      </w:r>
      <w:r>
        <w:rPr>
          <w:rFonts w:ascii="Times New Roman" w:hAnsi="Times New Roman" w:eastAsia="Times New Roman" w:cs="Times New Roman"/>
          <w:color w:val="000000"/>
          <w:sz w:val="20"/>
        </w:rPr>
        <w:t>. 2009. https://database.ich.org/sites/default/files/Q8_R2_Guideline.pdf</w:t>
      </w:r>
    </w:p>
    <w:p>
      <w:pPr>
        <w:spacing w:line="240" w:lineRule="auto" w:after="80"/>
        <w:ind w:left="360" w:hanging="360"/>
      </w:pPr>
      <w:r>
        <w:rPr>
          <w:rFonts w:ascii="Times New Roman" w:hAnsi="Times New Roman" w:eastAsia="Times New Roman" w:cs="Times New Roman"/>
          <w:color w:val="000000"/>
          <w:sz w:val="20"/>
        </w:rPr>
        <w:t xml:space="preserve">16. US Food and Drug Administration. </w:t>
      </w:r>
      <w:r>
        <w:rPr>
          <w:rFonts w:ascii="Times New Roman" w:hAnsi="Times New Roman" w:eastAsia="Times New Roman" w:cs="Times New Roman"/>
          <w:i/>
          <w:color w:val="000000"/>
          <w:sz w:val="20"/>
        </w:rPr>
        <w:t>Q8, Q9, &amp; Q10 Questions and Answers--Appendix</w:t>
      </w:r>
      <w:r>
        <w:rPr>
          <w:rFonts w:ascii="Times New Roman" w:hAnsi="Times New Roman" w:eastAsia="Times New Roman" w:cs="Times New Roman"/>
          <w:color w:val="000000"/>
          <w:sz w:val="20"/>
        </w:rPr>
        <w:t>. Accessed 2026-09-02. https://www.fda.gov/regulatory-information/search-fda-guidance-documents/q8-q9-q10-questions-and-answers-appendix-qas-training-sessions-q8-q9-q10-points-consider</w:t>
      </w:r>
    </w:p>
    <w:p>
      <w:pPr>
        <w:spacing w:line="240" w:lineRule="auto" w:after="80"/>
        <w:ind w:left="360" w:hanging="360"/>
      </w:pPr>
      <w:r>
        <w:rPr>
          <w:rFonts w:ascii="Times New Roman" w:hAnsi="Times New Roman" w:eastAsia="Times New Roman" w:cs="Times New Roman"/>
          <w:color w:val="000000"/>
          <w:sz w:val="20"/>
        </w:rPr>
        <w:t xml:space="preserve">17. Dawid AP. The well-calibrated Bayesian. </w:t>
      </w:r>
      <w:r>
        <w:rPr>
          <w:rFonts w:ascii="Times New Roman" w:hAnsi="Times New Roman" w:eastAsia="Times New Roman" w:cs="Times New Roman"/>
          <w:i/>
          <w:color w:val="000000"/>
          <w:sz w:val="20"/>
        </w:rPr>
        <w:t>J Am Stat Assoc</w:t>
      </w:r>
      <w:r>
        <w:rPr>
          <w:rFonts w:ascii="Times New Roman" w:hAnsi="Times New Roman" w:eastAsia="Times New Roman" w:cs="Times New Roman"/>
          <w:color w:val="000000"/>
          <w:sz w:val="20"/>
        </w:rPr>
        <w:t>. 1982;77:605--610. https://doi.org/10.1080/01621459.1982.10477856</w:t>
      </w:r>
    </w:p>
    <w:p>
      <w:pPr>
        <w:spacing w:line="240" w:lineRule="auto" w:after="80"/>
        <w:ind w:left="360" w:hanging="360"/>
      </w:pPr>
      <w:r>
        <w:rPr>
          <w:rFonts w:ascii="Times New Roman" w:hAnsi="Times New Roman" w:eastAsia="Times New Roman" w:cs="Times New Roman"/>
          <w:color w:val="000000"/>
          <w:sz w:val="20"/>
        </w:rPr>
        <w:t xml:space="preserve">18. Hadji A, Szabo B. Can we trust Bayesian uncertainty quantification from Gaussian process priors with squared exponential covariance kernel? </w:t>
      </w:r>
      <w:r>
        <w:rPr>
          <w:rFonts w:ascii="Times New Roman" w:hAnsi="Times New Roman" w:eastAsia="Times New Roman" w:cs="Times New Roman"/>
          <w:i/>
          <w:color w:val="000000"/>
          <w:sz w:val="20"/>
        </w:rPr>
        <w:t>SIAM/ASA J Uncertain Quantif</w:t>
      </w:r>
      <w:r>
        <w:rPr>
          <w:rFonts w:ascii="Times New Roman" w:hAnsi="Times New Roman" w:eastAsia="Times New Roman" w:cs="Times New Roman"/>
          <w:color w:val="000000"/>
          <w:sz w:val="20"/>
        </w:rPr>
        <w:t>. 2021;9:185--230. https://doi.org/10.1137/19M1253010</w:t>
      </w:r>
    </w:p>
    <w:p>
      <w:pPr>
        <w:spacing w:line="240" w:lineRule="auto" w:after="80"/>
        <w:ind w:left="360" w:hanging="360"/>
      </w:pPr>
      <w:r>
        <w:rPr>
          <w:rFonts w:ascii="Times New Roman" w:hAnsi="Times New Roman" w:eastAsia="Times New Roman" w:cs="Times New Roman"/>
          <w:color w:val="000000"/>
          <w:sz w:val="20"/>
        </w:rPr>
        <w:t>19. Talts S, Betancourt M, Simpson D, Vehtari A, Gelman A. Validating Bayesian inference algorithms with simulation-based calibration. arXiv:1804.06788. 2018. https://doi.org/10.48550/arXiv.1804.06788</w:t>
      </w:r>
    </w:p>
    <w:p>
      <w:pPr>
        <w:spacing w:line="240" w:lineRule="auto" w:after="80"/>
        <w:ind w:left="360" w:hanging="360"/>
      </w:pPr>
      <w:r>
        <w:rPr>
          <w:rFonts w:ascii="Times New Roman" w:hAnsi="Times New Roman" w:eastAsia="Times New Roman" w:cs="Times New Roman"/>
          <w:color w:val="000000"/>
          <w:sz w:val="20"/>
        </w:rPr>
        <w:t xml:space="preserve">20. Clopper CJ, Pearson ES. The use of confidence or fiducial limits illustrated in the case of the binomial. </w:t>
      </w:r>
      <w:r>
        <w:rPr>
          <w:rFonts w:ascii="Times New Roman" w:hAnsi="Times New Roman" w:eastAsia="Times New Roman" w:cs="Times New Roman"/>
          <w:i/>
          <w:color w:val="000000"/>
          <w:sz w:val="20"/>
        </w:rPr>
        <w:t>Biometrika</w:t>
      </w:r>
      <w:r>
        <w:rPr>
          <w:rFonts w:ascii="Times New Roman" w:hAnsi="Times New Roman" w:eastAsia="Times New Roman" w:cs="Times New Roman"/>
          <w:color w:val="000000"/>
          <w:sz w:val="20"/>
        </w:rPr>
        <w:t>. 1934;26:404--413. https://doi.org/10.1093/biomet/26.4.404</w:t>
      </w:r>
    </w:p>
    <w:p>
      <w:pPr>
        <w:spacing w:line="240" w:lineRule="auto" w:after="80"/>
        <w:ind w:left="360" w:hanging="360"/>
      </w:pPr>
      <w:r>
        <w:rPr>
          <w:rFonts w:ascii="Times New Roman" w:hAnsi="Times New Roman" w:eastAsia="Times New Roman" w:cs="Times New Roman"/>
          <w:color w:val="000000"/>
          <w:sz w:val="20"/>
        </w:rPr>
        <w:t xml:space="preserve">21. Chow CK. On optimum recognition error and reject tradeoff. </w:t>
      </w:r>
      <w:r>
        <w:rPr>
          <w:rFonts w:ascii="Times New Roman" w:hAnsi="Times New Roman" w:eastAsia="Times New Roman" w:cs="Times New Roman"/>
          <w:i/>
          <w:color w:val="000000"/>
          <w:sz w:val="20"/>
        </w:rPr>
        <w:t>IEEE Trans Inf Theory</w:t>
      </w:r>
      <w:r>
        <w:rPr>
          <w:rFonts w:ascii="Times New Roman" w:hAnsi="Times New Roman" w:eastAsia="Times New Roman" w:cs="Times New Roman"/>
          <w:color w:val="000000"/>
          <w:sz w:val="20"/>
        </w:rPr>
        <w:t>. 1970;16:41--46. https://doi.org/10.1109/TIT.1970.1054406</w:t>
      </w:r>
    </w:p>
    <w:p>
      <w:pPr>
        <w:spacing w:line="240" w:lineRule="auto" w:after="80"/>
        <w:ind w:left="360" w:hanging="360"/>
      </w:pPr>
      <w:r>
        <w:rPr>
          <w:rFonts w:ascii="Times New Roman" w:hAnsi="Times New Roman" w:eastAsia="Times New Roman" w:cs="Times New Roman"/>
          <w:color w:val="000000"/>
          <w:sz w:val="20"/>
        </w:rPr>
        <w:t xml:space="preserve">22. Geifman Y, El-Yaniv R. Selective classification for deep neural networks. </w:t>
      </w:r>
      <w:r>
        <w:rPr>
          <w:rFonts w:ascii="Times New Roman" w:hAnsi="Times New Roman" w:eastAsia="Times New Roman" w:cs="Times New Roman"/>
          <w:i/>
          <w:color w:val="000000"/>
          <w:sz w:val="20"/>
        </w:rPr>
        <w:t>NeurIPS</w:t>
      </w:r>
      <w:r>
        <w:rPr>
          <w:rFonts w:ascii="Times New Roman" w:hAnsi="Times New Roman" w:eastAsia="Times New Roman" w:cs="Times New Roman"/>
          <w:color w:val="000000"/>
          <w:sz w:val="20"/>
        </w:rPr>
        <w:t>. 2017;30.</w:t>
      </w:r>
    </w:p>
    <w:p>
      <w:pPr>
        <w:spacing w:line="240" w:lineRule="auto" w:after="80"/>
        <w:ind w:left="360" w:hanging="360"/>
      </w:pPr>
      <w:r>
        <w:rPr>
          <w:rFonts w:ascii="Times New Roman" w:hAnsi="Times New Roman" w:eastAsia="Times New Roman" w:cs="Times New Roman"/>
          <w:color w:val="000000"/>
          <w:sz w:val="20"/>
        </w:rPr>
        <w:t xml:space="preserve">23. Hall ML, Lin W-H, Ogle BM. Optimizing extracellular matrix for endothelial differentiation using a design of experiments approach. </w:t>
      </w:r>
      <w:r>
        <w:rPr>
          <w:rFonts w:ascii="Times New Roman" w:hAnsi="Times New Roman" w:eastAsia="Times New Roman" w:cs="Times New Roman"/>
          <w:i/>
          <w:color w:val="000000"/>
          <w:sz w:val="20"/>
        </w:rPr>
        <w:t>Sci Rep</w:t>
      </w:r>
      <w:r>
        <w:rPr>
          <w:rFonts w:ascii="Times New Roman" w:hAnsi="Times New Roman" w:eastAsia="Times New Roman" w:cs="Times New Roman"/>
          <w:color w:val="000000"/>
          <w:sz w:val="20"/>
        </w:rPr>
        <w:t>. 2025;15:24479. https://doi.org/10.1038/s41598-025-09256-9</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point optimization to operating-region decisions: a fixed-well evaluation of conservative Gaussian-process design for cell manufacturing</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