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certified volume as zero. Mean certified volume was therefore higher for SPADE (0.000864 versus 0.0000094 on a 2,000-point scoring grid; difference +0.000855). A 95% confidence interval for that average difference ran from +0.000691 to +0.001028 and did not include zero; a randomization check gave p &lt; 0.000125. Certified volume means the fraction of that scoring grid inside the region the method is willing to call acceptable (one grid point = 0.0005). Among the rare times qLogNEI did answer, its mean certified volume was still lower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one-process comparison program (DC) and leave-one-family-out matched-round program (LC) used five synthetic response families—Ackley, Hartmann6, biphasic Hill, Levy, and Rosenbrock—32 deterministic seeds per family, six normalized factors, 48 measured wells, and relative observation noise 0.25. The prevalence and margin-to-noise program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and the DoE comparison. LC supplied the leave-one-family-out matched-round volume comparison. TAU supplied the prevalence and margin-to-noise analyses. A separate targeting-test program (TT)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We write Rn for an n-round schedule (for example, R5 means five sequential rounds).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certified volume (the fraction of the scoring grid inside the returned region),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In plain terms: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Yes—mainly because 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returns non-zero certified volume under these rules. When both methods did answer, SPADE’s mean certified volume was still higher (0.00238 versus 0.00050, i.e., about one grid point for qLogNEI). We did not pre-register a “how big a volume win counts” threshold, so we treat this as directional support for the region decision—not a claim that SPADE is always best. A similar three-round volume claim was withdrawn after more seeds were run.</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