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240" w:line="240" w:lineRule="auto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Cover letter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Dear Editors,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Please consider our research article, “Operating-region and point-recipe decisions rank experimental designs differently under a fixed 48-well budget: a synthetic SPADE comparison with Bayesian optimization and response-surface design,” for PLOS ONE.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Cell-manufacturing and formulation campaigns often treat “find the best recipe” and “define a trustworthy operating region” as if they were the same decision. They are not. We evaluate SPADE, an assay-oriented integration of established Gaussian-process level-set and conservative-set methods, against noisy Bayesian optimization (qLogNEI) and response-surface design of experiments under matched 48-well budgets on synthetic landscapes.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contribution is decision guidance: on this synthetic 48-well benchmark SPADE is preferable when the deliverable is a trusted operating region, not when the deliverable is a single optimized recipe. At matched five rounds, SPADE returned non-empty regions far more often than qLogNEI (116/320 versus 6/320), yielding higher mean certified volume with abstentions scored as zero (0.000864 versus 0.0000094; difference +0.000855, 95% CI [+0.000691, +0.001028], p &lt; 0.000125, n = 320 dependent cells). Five-round SPADE showed no detectable point-regret difference from ten-round qLogNEI (-0.0005, 95% CI [-0.0221, +0.0207], p = 0.96, n = 160), without claiming equivalence. Screened three-round DoE found the better point recipe (+0.1026 SPADE-minus-DoE regret, 95% CI [+0.0486, +0.1578], p = 0.0003), while five-round SPADE’s answered regional decisions showed stronger observed truth containment (66/160 answered, 66/66 contained) than screened DoE (122/160, 85/122) or unscreened DoE (134/160, 77/134). We retain the real-noise ceiling, the later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>NO_SELECTION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development stop, the unopened lockbox, and the absence of prospective wet-lab validation so “better for the region” cannot be misread as manufacturing qualification. The original posterior certificate checks do not establish empirical or calibration validity.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Reviewer-access materials are at https://github.com/akwnn/nutrigene-ai-bo-ipsec. An archival DOI will be minted upon acceptance or at submission if a Zenodo deposit is completed first.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This manuscript is not under consideration elsewhere. The authors have had no prior interactions with PLOS regarding this work, and there are no related manuscripts or preprints currently under review.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Suggested Academic Editor expertise: Bayesian optimization / Gaussian processes, design of experiments and response-surface methodology, computational statistics or simulation methodology, and bioprocess / formulation development. We have no opposed reviewers.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Both authors have reviewed the manuscript, agreed to the listed CRediT contributions and author order, and approved this submission.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Sincerely,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Alana Wai Han Kwan Department of Chemical Engineering, Columbia University 11281128alana@gmail.com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60" w:line="240" w:lineRule="auto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4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</dc:title>
  <dc:subject>PLOS ONE cover letter</dc:subject>
  <dc:creator>python-docx</dc:creator>
  <cp:keywords>SPADE; Bayesian optimization; response-surface methodology; design space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