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laboratory may need either one best recipe or a set of settings expected to remain above a quality threshold. Those goals differ, so method rankings can change with the decision. We compared SPADE (Synthetic Posterior Abstaining Design for Excursions)—an abstaining conservative-region procedure—with noisy Bayesian optimization (qLogNEI) and classical response-surface DoE on synthetic test problems under a shared 48-well budget. On this benchmark, choose SPADE when the deliverable is a trusted operating region; choose DoE when only one recipe is needed. Against qLogNEI at five matched rounds, SPADE returned a usable region far more often (116 of 320 comparisons versus 6 of 320). Abstentions were scored as zero certified volume, so mean certified volume was higher for SPADE (0.000864 versus 0.0000094 on a 2,000-point scoring grid; difference +0.000855; 95% CI +0.000691 to +0.001028; p &lt; 0.000125). Certified volume is the fraction of that grid inside the returned region (one grid point = 0.0005). All six qLogNEI answers were exactly one grid point; SPADE’s conditional mean among answers was 0.00238. Against DoE, SPADE’s answered regions always matched truth (66/66), though counting every campaign screened DoE returned more correct regions (85/160 versus 66/160) because it answers more often and sometimes wrongly. Screened DoE won on single-recipe quality (SPADE−DoE regret +0.1026). Five-round SPADE showed no detectable regret difference from ten-round qLogNEI (−0.0005), without proving equivalence. Results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We write Rn for an n-round schedule (for example, R5 means five sequential rounds).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We score two end-of-run decisions: a point recipe (simple regret) and an operating region (certified volume, truth containment when the method answers, and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The headline is therefore mostly an answer-rate result: qLogNEI almost never returns non-zero certified volume under these rules. When a method did answer, SPADE’s mean certified volume was still higher (0.00238 versus 0.00050). All six qLogNEI answers were exactly one scoring-grid point (volume 0.0005); SPADE’s answered regions averaged about 4.8 grid points. We did not pre-register a smallest effect of interest for certified volume, so we treat this as directional support for the region decision—not a claim that SPADE is always best. A similar three-round volume claim was withdrawn after more seeds were run.</w:t>
      </w:r>
    </w:p>
    <w:p>
      <w:pPr>
        <w:widowControl/>
      </w:pPr>
      <w:r>
        <w:rPr>
          <w:rFonts w:ascii="Times New Roman" w:hAnsi="Times New Roman" w:eastAsia="Times New Roman" w:cs="Times New Roman"/>
          <w:color w:val="000000"/>
          <w:sz w:val="24"/>
        </w:rPr>
        <w:t>Table 1a reports leave-one-family-out answer counts by family. SPADE answered more often than qLogNEI in four of five families; both arms returned zero answers on Rosenbrock under the selected inflations. These family-level counts are descriptive summaries of the same LOFO comparison and are not a separate confirmatory test.</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widowControl/>
      </w:pPr>
      <w:r>
        <w:rPr>
          <w:rFonts w:ascii="Times New Roman" w:hAnsi="Times New Roman" w:eastAsia="Times New Roman" w:cs="Times New Roman"/>
          <w:b/>
          <w:color w:val="000000"/>
          <w:sz w:val="24"/>
        </w:rPr>
        <w:t>Table 1a. Leave-one-family-out answer counts by family (SPADE vs qLogNEI, R5).</w:t>
      </w:r>
      <w:r>
        <w:rPr>
          <w:rFonts w:ascii="Times New Roman" w:hAnsi="Times New Roman" w:eastAsia="Times New Roman" w:cs="Times New Roman"/>
          <w:color w:val="000000"/>
          <w:sz w:val="24"/>
        </w:rPr>
        <w:t xml:space="preserve"> Each cell pools prevalences 0.30 and 0.10 (64 family–seed–prevalence cells). Inflation \(c\) is selected on the other four families; volume scoring uses the held-out family’s selected \(c\) (or baseline \(c=1\) with forced zero volume when no \(c\) passes). Totals match the 116/320 versus 6/320 headline.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3000"/>
        <w:gridCol w:w="1050"/>
        <w:gridCol w:w="1050"/>
        <w:gridCol w:w="2100"/>
        <w:gridCol w:w="2160"/>
      </w:tblGrid>
      <w:tr>
        <w:trPr>
          <w:cantSplit/>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answers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answers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selected \(c\)</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selected \(c\)</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52/64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3.0</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58/64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none</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Total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116/320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6/320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This comparison concerns recipe quality rather than regions. Both methods used 48 wells; SPADE used five rounds and qLogNEI used ten. Average simple regret differed by −0.0005 (SPADE minus qLogNEI), with a 95% confidence interval from −0.0221 to +0.0207 (p = 0.96; n = 160 family–seed pairs). There is no clear winner on the single best recipe, and the interval is wide enough that equivalence within the pre-set ±0.02 margin also cannot be claimed.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Absolute certified volumes remain small on this benchmark: when SPADE answered, the mean returned region covered about 0.24% of the scoring grid (roughly five of 2,000 points). At 48 wells and relative noise 0.25, that scarcity is consistent with the margin-to-noise association and with the real-noise ceiling at which no tested arm certified: SPADE’s regional advantage is that it locates a non-empty conservative set under these rules at all, not that it returns a large fraction of the design space.</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