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(Synthetic Posterior Abstaining Design for Excursions), an assay-oriented integration of established Gaussian-process level-set and conservative-set methods, against noisy Bayesian optimization (qLogNEI) and a response-surface design of experiments (DoE) on synthetic families under 48-well budgets. At matched five rounds, SPADE returned greater certified volume than qLogNEI (mean volumes 0.000864 versus 0.000009 on the 2,000-point scoring grid, about a 92-fold ratio; difference +0.000855, 95% CI [+0.000691, +0.001028], p &lt; 0.000125, n = 320 dependent cells). One grid point equals 0.0005 of volume, so the mean difference is about 1.7 grid points; no smallest effect of interest was registered for volume, and we interpret the contrast as directional support for the tested region decision rather than universal superiority. Five-round SPADE showed no detectable point-regret difference from ten-round qLogNEI (−0.0005, 95% CI [−0.0221, +0.0207], p = 0.96, n = 160), without claiming equivalence. Screened three-round DoE found the better point recipe (+0.1026 SPADE-minus-DoE regret). For regions at prevalence 0.30, SPADE answered 66/160 campaigns and contained truth in all 66 answers, whereas screened DoE answered 122/160 with 85 contained and unscreened DoE answered 134/160 with 77 contained. Per eligible campaign, contained counts were 66/160 (SPADE) versus 85/160 and 77/160 (DoE arms): DoE returns more correct regions only because it answers more often, including wrong certificates. Under an asymmetric loss that treats a false certified region as worse than abstention, SPADE’s 66/66 conditional record is the relevant regional score.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compared arm uses the same 48-well campaign total; the method chooses round structure and the terminal return. (B) The same wells can be scored as a point-recipe decision (simple regret) or as an operating-region decision (certified volume, truth containment, or abstention). (C) SPADE is evaluated as the region-first architecture; qLogNEI is the noisy Bayesian-optimization comparator; DoE pipelines are classical response-surface designs that often win the single-recipe job.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