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228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28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Method selection under a fixed 48-well budget. Choose SPADE when the campaign must return a trusted operating region with honest abstention. Choose a point optimizer (DoE or BO) when only one carry-forward recipe is required. Under very high assay-like noise, abstain and replicate rather than claiming a region.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28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28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2. SPADE’s primary advantage: trusted operating regions. (A) Mean certified volume at matched five rounds (leave-one-family-out): SPADE versus qLogNEI; locked contrast +0.000855 (95% CI [+0.000691, +0.001028], p&lt;0.0001, n=320). (B) Observed truth containment among answered regions at prevalence 0.30: SPADE 66/66 versus screened DoE 85/122 and unscreened DoE 77/134.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8339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833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3. Point-recipe trade-off (secondary to the region decision). (A) SPADE at five rounds minus qLogNEI at ten rounds on simple regret: no detectable difference (−0.0005, 95% CI [−0.0221, +0.0207], n=160); not claimed as equivalence. (B) SPADE at five rounds minus screened DoE at three rounds: DoE finds the better single recipe (+0.1026, 95% CI [+0.0486, +0.1578]); expected when the goal is one point rather than a region.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 2. Point-recipe contrasts from the one-process DC comparison. (A) SPADE at five rounds minus qLogNEI at ten rounds on simple regret (n=160); shaded band is ±0.02. The estimate shows no detectable difference and does not establish equivalence. (B) SPADE at five rounds minus screened DoE at three rounds; DoE finds the better point recipe.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keepNext/>
        <w:spacing w:before="12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97880" cy="23733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37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4. Additional locked SPADE evidence. (A) At three rounds SPADE has lower regret than one-shot Latin hypercube sampling (SPADE−LHS −0.0783; shown as positive SPADE advantage). (B) On the biology-shaped Hill family at prevalence 0.70, SPADE answers 40/64 trusted regions versus 27/64 for qLogNEI; both arms contain truth in every answered cell.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Main text Figures 1–4 follow the region-first presentation: method selection (Fig 1),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SPADE’s certified-volume and containment advantage (Fig 2), the secondary point-recipe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trade-off (Fig 3), and additional locked SPADE evidence C4/C6 (Fig 4). Numeric sources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are in </w:t>
      </w:r>
      <w:r>
        <w:rPr>
          <w:rFonts w:ascii="Courier New" w:hAnsi="Courier New" w:eastAsia="Courier New" w:cs="Courier New"/>
          <w:color w:val="000000"/>
          <w:sz w:val="22"/>
        </w:rPr>
        <w:t>publication/manuscript/CLAIMS-AND-SOURCES.md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research/results/comparisons/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Rule A versus Rule P terminal-rule rows.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C1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historical two-round map-error contrasts.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Motivation only; not a current C3 claim.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Optional archive: older posterior self-consistency checks.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do not replace empirical containment or the C3 certified-volume result.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