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“Operating-region and point-recipe decisions rank experimental designs differently under a fixed 48-well budget: a synthetic SPADE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contribution is decision guidance for operating-region use cases, not universal method superiority. At matched five rounds, SPADE returned greater certified volume than qLogNEI (means 0.000864 versus 0.000009; difference +0.000855, 95% CI [+0.000691, +0.001028], p &lt; 0.000125, n = 320 dependent cells). Five-round SPADE showed no detectable point-regret difference from ten-round qLogNEI (-0.0005, 95% CI [-0.0221, +0.0207], p = 0.96, n = 160), without claiming equivalence. Screened three-round DoE found the better point recipe (+0.1026 SPADE-minus-DoE regret, 95% CI [+0.0486, +0.1578], p = 0.0003),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have reviewed the manuscript, agreed to the listed CRediT contributions and author order, and approved this submission.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 Department of Chemical Engineering, Columbia University 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