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(Synthetic Posterior Abstaining Design for Excursions), an assay-oriented integration of established Gaussian-process level-set and conservative-set methods, against noisy Bayesian optimization (qLogNEI) and a response-surface design of experiments (DoE) on synthetic families under 48-well budgets. At matched five rounds, SPADE returned greater certified volume than qLogNEI (mean volumes 0.000864 versus 0.000009 on the 2,000-point scoring grid, about a 92-fold ratio; difference +0.000855, 95% CI [+0.000691, +0.001028], p &lt; 0.000125, n = 320 dependent cells). One grid point equals 0.0005 of volume, so the mean difference is about 1.7 grid points; no smallest effect of interest was registered for volume, and we interpret the contrast as directional support for the tested region decision rather than universal superiority. Five-round SPADE showed no detectable point-regret difference from ten-round qLogNEI (−0.0005, 95% CI [−0.0221, +0.0207], p = 0.96, n = 160), without claiming equivalence. Screened three-round DoE found the better point recipe (+0.1026 SPADE-minus-DoE regret). For regions at prevalence 0.30, SPADE answered 66/160 campaigns and contained truth in all 66 answers, whereas screened DoE answered 122/160 with 85 contained and unscreened DoE answered 134/160 with 77 contained. Per eligible campaign, contained counts were 66/160 (SPADE) versus 85/160 and 77/160 (DoE arms): DoE returns more correct regions only because it answers more often, including wrong certificates. Under an asymmetric loss that treats a false certified region as worse than abstention, SPADE’s 66/66 conditional record is the relevant regional score.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Method selection under a fixed 48-well budget.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