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40" w:line="240" w:lineRule="auto"/>
        <w:jc w:val="center"/>
      </w:pPr>
      <w:r>
        <w:rPr>
          <w:rFonts w:ascii="Times New Roman" w:hAnsi="Times New Roman" w:eastAsia="Times New Roman" w:cs="Times New Roman"/>
          <w:b/>
          <w:color w:val="000000"/>
          <w:sz w:val="28"/>
        </w:rPr>
        <w:t>Operating-region and point-recipe decisions rank experimental designs differently under a fixed 48-well budget: a synthetic SPADE comparison with Bayesian optimization and response-surface design</w:t>
      </w:r>
    </w:p>
    <w:p>
      <w:pPr>
        <w:widowControl/>
      </w:pPr>
      <w:r>
        <w:rPr>
          <w:rFonts w:ascii="Times New Roman" w:hAnsi="Times New Roman" w:eastAsia="Times New Roman" w:cs="Times New Roman"/>
          <w:b/>
          <w:color w:val="000000"/>
          <w:sz w:val="24"/>
        </w:rPr>
        <w:t>Short title:</w:t>
      </w:r>
      <w:r>
        <w:rPr>
          <w:rFonts w:ascii="Times New Roman" w:hAnsi="Times New Roman" w:eastAsia="Times New Roman" w:cs="Times New Roman"/>
          <w:color w:val="000000"/>
          <w:sz w:val="24"/>
        </w:rPr>
        <w:t xml:space="preserve"> Fixed-budget operating-region decisions</w:t>
      </w:r>
    </w:p>
    <w:p>
      <w:pPr>
        <w:widowControl/>
      </w:pPr>
      <w:r>
        <w:rPr>
          <w:rFonts w:ascii="Times New Roman" w:hAnsi="Times New Roman" w:eastAsia="Times New Roman" w:cs="Times New Roman"/>
          <w:b/>
          <w:color w:val="000000"/>
          <w:sz w:val="24"/>
        </w:rPr>
        <w:t>Authors:</w:t>
      </w:r>
      <w:r>
        <w:rPr>
          <w:rFonts w:ascii="Times New Roman" w:hAnsi="Times New Roman" w:eastAsia="Times New Roman" w:cs="Times New Roman"/>
          <w:color w:val="000000"/>
          <w:sz w:val="24"/>
        </w:rPr>
        <w:t xml:space="preserve"> Alana Wai Han Kwan¹*, Joseph Yung²</w:t>
      </w:r>
    </w:p>
    <w:p>
      <w:pPr>
        <w:widowControl/>
      </w:pPr>
      <w:r>
        <w:rPr>
          <w:rFonts w:ascii="Times New Roman" w:hAnsi="Times New Roman" w:eastAsia="Times New Roman" w:cs="Times New Roman"/>
          <w:b/>
          <w:color w:val="000000"/>
          <w:sz w:val="24"/>
        </w:rPr>
        <w:t>Affiliations:</w:t>
      </w:r>
      <w:r>
        <w:rPr>
          <w:rFonts w:ascii="Times New Roman" w:hAnsi="Times New Roman" w:eastAsia="Times New Roman" w:cs="Times New Roman"/>
          <w:color w:val="000000"/>
          <w:sz w:val="24"/>
        </w:rPr>
        <w:t xml:space="preserve"> ¹ Department of Chemical Engineering, Columbia University, New York, New York, United States of America ² Department of Industrial Engineering and Operations Research, Columbia University, New York, New York, United States of America</w:t>
      </w:r>
    </w:p>
    <w:p>
      <w:pPr>
        <w:widowControl/>
      </w:pPr>
      <w:r>
        <w:rPr>
          <w:rFonts w:ascii="Times New Roman" w:hAnsi="Times New Roman" w:eastAsia="Times New Roman" w:cs="Times New Roman"/>
          <w:b/>
          <w:color w:val="000000"/>
          <w:sz w:val="24"/>
        </w:rPr>
        <w:t>Corresponding author:</w:t>
      </w:r>
      <w:r>
        <w:rPr>
          <w:rFonts w:ascii="Times New Roman" w:hAnsi="Times New Roman" w:eastAsia="Times New Roman" w:cs="Times New Roman"/>
          <w:color w:val="000000"/>
          <w:sz w:val="24"/>
        </w:rPr>
        <w:t xml:space="preserve"> Alana Wai Han Kwan¹ (11281128alana@gmail.com)</w:t>
      </w:r>
    </w:p>
    <w:p>
      <w:pPr>
        <w:widowControl/>
      </w:pPr>
      <w:r>
        <w:rPr>
          <w:rFonts w:ascii="Times New Roman" w:hAnsi="Times New Roman" w:eastAsia="Times New Roman" w:cs="Times New Roman"/>
          <w:b/>
          <w:color w:val="000000"/>
          <w:sz w:val="24"/>
        </w:rPr>
        <w:t>Author emails:</w:t>
      </w:r>
      <w:r>
        <w:rPr>
          <w:rFonts w:ascii="Times New Roman" w:hAnsi="Times New Roman" w:eastAsia="Times New Roman" w:cs="Times New Roman"/>
          <w:color w:val="000000"/>
          <w:sz w:val="24"/>
        </w:rPr>
        <w:t xml:space="preserve"> Alana Wai Han Kwan, 11281128alana@gmail.com; Joseph Yung, josephyung33@gmail.com</w:t>
      </w:r>
    </w:p>
    <w:p>
      <w:pPr>
        <w:pStyle w:val="Heading1"/>
        <w:widowControl/>
      </w:pPr>
      <w:r>
        <w:rPr>
          <w:rFonts w:ascii="Times New Roman" w:hAnsi="Times New Roman" w:eastAsia="Times New Roman" w:cs="Times New Roman"/>
          <w:color w:val="000000"/>
          <w:sz w:val="24"/>
        </w:rPr>
        <w:t>Competing interests</w:t>
      </w:r>
    </w:p>
    <w:p>
      <w:pPr>
        <w:widowControl/>
      </w:pPr>
      <w:r>
        <w:rPr>
          <w:rFonts w:ascii="Times New Roman" w:hAnsi="Times New Roman" w:eastAsia="Times New Roman" w:cs="Times New Roman"/>
          <w:color w:val="000000"/>
          <w:sz w:val="24"/>
        </w:rPr>
        <w:t>The authors have declared that no competing interests exist. No commercial entity funded, owned, or directed this analysis. Retrospective in-house assay files used only for supporting uncertainty diagnostics (Supporting Information) were academic research materials and conferred no financial interest.</w:t>
      </w:r>
    </w:p>
    <w:p>
      <w:pPr>
        <w:pStyle w:val="Heading1"/>
        <w:widowControl/>
      </w:pPr>
      <w:r>
        <w:rPr>
          <w:rFonts w:ascii="Times New Roman" w:hAnsi="Times New Roman" w:eastAsia="Times New Roman" w:cs="Times New Roman"/>
          <w:color w:val="000000"/>
          <w:sz w:val="24"/>
        </w:rPr>
        <w:t>Funding</w:t>
      </w:r>
    </w:p>
    <w:p>
      <w:pPr>
        <w:widowControl/>
      </w:pPr>
      <w:r>
        <w:rPr>
          <w:rFonts w:ascii="Times New Roman" w:hAnsi="Times New Roman" w:eastAsia="Times New Roman" w:cs="Times New Roman"/>
          <w:color w:val="000000"/>
          <w:sz w:val="24"/>
        </w:rPr>
        <w:t>This work received no specific grant from any funding agency in the public, commercial, or not-for-profit sectors. Computational resources were provided by the authors’ academic affiliations.</w:t>
      </w:r>
    </w:p>
    <w:p>
      <w:pPr>
        <w:pStyle w:val="Heading1"/>
        <w:widowControl/>
      </w:pPr>
      <w:r>
        <w:rPr>
          <w:rFonts w:ascii="Times New Roman" w:hAnsi="Times New Roman" w:eastAsia="Times New Roman" w:cs="Times New Roman"/>
          <w:color w:val="000000"/>
          <w:sz w:val="24"/>
        </w:rPr>
        <w:t>Ethics statement</w:t>
      </w:r>
    </w:p>
    <w:p>
      <w:pPr>
        <w:widowControl/>
      </w:pPr>
      <w:r>
        <w:rPr>
          <w:rFonts w:ascii="Times New Roman" w:hAnsi="Times New Roman" w:eastAsia="Times New Roman" w:cs="Times New Roman"/>
          <w:color w:val="000000"/>
          <w:sz w:val="24"/>
        </w:rPr>
        <w:t>All primary experiments were computer simulations on synthetic response surfaces. No new human participants, animals, cell lines, or biological specimens were generated for this study, and no institutional review board approval was required for the synthetic benchmark. Retrospective in-house assay files used in supporting diagnostics were previously collected academic materials; no new human or animal sampling was performed for this manuscript.</w:t>
      </w:r>
    </w:p>
    <w:p>
      <w:r>
        <w:br w:type="page"/>
      </w:r>
    </w:p>
    <w:p>
      <w:pPr>
        <w:pStyle w:val="Heading1"/>
        <w:widowControl/>
      </w:pPr>
      <w:r>
        <w:rPr>
          <w:rFonts w:ascii="Times New Roman" w:hAnsi="Times New Roman" w:eastAsia="Times New Roman" w:cs="Times New Roman"/>
          <w:color w:val="000000"/>
          <w:sz w:val="24"/>
        </w:rPr>
        <w:t>Abstract</w:t>
      </w:r>
    </w:p>
    <w:p>
      <w:pPr>
        <w:widowControl/>
      </w:pPr>
      <w:r>
        <w:rPr>
          <w:rFonts w:ascii="Times New Roman" w:hAnsi="Times New Roman" w:eastAsia="Times New Roman" w:cs="Times New Roman"/>
          <w:color w:val="000000"/>
          <w:sz w:val="24"/>
        </w:rPr>
        <w:t>An experimental campaign may need one optimized recipe or a conservative operating region; these are different decisions. We evaluated SPADE (Synthetic Posterior Abstaining Design for Excursions), an assay-oriented integration of established Gaussian-process level-set and conservative-set methods, against noisy Bayesian optimization (qLogNEI) and a response-surface design of experiments (DoE) on synthetic families under 48-well budgets. At matched five rounds, SPADE returned greater certified volume than qLogNEI (mean volumes 0.000864 versus 0.000009 on the 2,000-point scoring grid, about a 92-fold ratio; difference +0.000855, 95% CI [+0.000691, +0.001028], p &lt; 0.000125, n = 320 dependent cells). One grid point equals 0.0005 of volume, so the mean difference is about 1.7 grid points; no smallest effect of interest was registered for volume, and we interpret the contrast as directional support for the tested region decision rather than universal superiority. Five-round SPADE showed no detectable point-regret difference from ten-round qLogNEI (−0.0005, 95% CI [−0.0221, +0.0207], p = 0.96, n = 160), without claiming equivalence. Screened three-round DoE found the better point recipe (+0.1026 SPADE-minus-DoE regret). For regions at prevalence 0.30, SPADE answered 66/160 campaigns and contained truth in all 66 answers, whereas screened DoE answered 122/160 with 85 contained and unscreened DoE answered 134/160 with 77 contained. Per eligible campaign, contained counts were 66/160 (SPADE) versus 85/160 and 77/160 (DoE arms): DoE returns more correct regions only because it answers more often, including wrong certificates. Under an asymmetric loss that treats a false certified region as worse than abstention, SPADE’s 66/66 conditional record is the relevant regional score. Results are limited to the tested synthetic benchmark, moderate noise, finite grids, and calibration rules; they do not establish regulatory qualification or prospective wet-lab performance.</w:t>
      </w:r>
    </w:p>
    <w:p>
      <w:pPr>
        <w:pStyle w:val="Heading1"/>
        <w:widowControl/>
      </w:pPr>
      <w:r>
        <w:rPr>
          <w:rFonts w:ascii="Times New Roman" w:hAnsi="Times New Roman" w:eastAsia="Times New Roman" w:cs="Times New Roman"/>
          <w:color w:val="000000"/>
          <w:sz w:val="24"/>
        </w:rPr>
        <w:t>Introduction</w:t>
      </w:r>
    </w:p>
    <w:p>
      <w:pPr>
        <w:widowControl/>
      </w:pPr>
      <w:r>
        <w:rPr>
          <w:rFonts w:ascii="Times New Roman" w:hAnsi="Times New Roman" w:eastAsia="Times New Roman" w:cs="Times New Roman"/>
          <w:color w:val="000000"/>
          <w:sz w:val="24"/>
        </w:rPr>
        <w:t>Cell-culture media, extracellular-matrix composition, and bioprocess parameters are chosen jointly, so even a modest factor grid can exceed a practical assay budget. Classical response-surface methodology provides screening, sequential movement, and low-order local modelling [1–3]. Bayesian optimization (BO) instead fits a probabilistic surrogate and allocates observations to improve an objective [4–6]. Both approaches are used in biological and bioprocess development [7–12].</w:t>
      </w:r>
    </w:p>
    <w:p>
      <w:pPr>
        <w:widowControl/>
      </w:pPr>
      <w:r>
        <w:rPr>
          <w:rFonts w:ascii="Times New Roman" w:hAnsi="Times New Roman" w:eastAsia="Times New Roman" w:cs="Times New Roman"/>
          <w:color w:val="000000"/>
          <w:sz w:val="24"/>
        </w:rPr>
        <w:t>The decision made after sampling matters as much as the sampling rule. One laboratory may need a single carry-forward recipe, appropriately scored by point regret. Another may need an operating region: a set of compositions expected to exceed a specification, with an explicit option to abstain when the evidence is insufficient. A method can find a strong point while learning little about the surrounding region, or map a region without finding the global optimum. Point regret, map error, answer rate, empirical truth containment, and certified volume are therefore distinct estimands.</w:t>
      </w:r>
    </w:p>
    <w:p>
      <w:pPr>
        <w:widowControl/>
      </w:pPr>
      <w:r>
        <w:rPr>
          <w:rFonts w:ascii="Times New Roman" w:hAnsi="Times New Roman" w:eastAsia="Times New Roman" w:cs="Times New Roman"/>
          <w:color w:val="000000"/>
          <w:sz w:val="24"/>
        </w:rPr>
        <w:t>Region estimation is not new. Gaussian-process (GP) level-set classification and boundary-focused batch sampling are established [13], as are conservative excursion-set estimators based on posterior inclusion [14] and methods such as TruVaR that connect optimization with level-set learning [15]. qLogNEI is a modern noisy expected-improvement method [16]. Proper scoring separates probabilistic forecasts from downstream decisions [17], while BoTorch supplies established computational components [18]. Recent synthetic batch-BO work further shows that noise and geometry can alter rankings [19], and good simulation-study practice requires explicit estimands and data-generating scope [20].</w:t>
      </w:r>
    </w:p>
    <w:p>
      <w:pPr>
        <w:widowControl/>
      </w:pPr>
      <w:r>
        <w:rPr>
          <w:rFonts w:ascii="Times New Roman" w:hAnsi="Times New Roman" w:eastAsia="Times New Roman" w:cs="Times New Roman"/>
          <w:color w:val="000000"/>
          <w:sz w:val="24"/>
        </w:rPr>
        <w:t>SPADE (Synthetic Posterior Abstaining Design for Excursions) is an assay-oriented architecture built from these established ingredients, not a new excursion-set theory. It combines a space-filling opening, adaptive high-response sampling, a common posterior conservative-set estimator that can also score comparator observations, and abstention. Its acquisition should not be described as successfully threshold-targeted: a registered target-aligned variant failed its adoption gate. The scientific question is instead whether this architecture improves the tested regional decision while honestly retaining point-optimization trade-offs.</w:t>
      </w:r>
    </w:p>
    <w:p>
      <w:pPr>
        <w:widowControl/>
      </w:pPr>
      <w:r>
        <w:rPr>
          <w:rFonts w:ascii="Times New Roman" w:hAnsi="Times New Roman" w:eastAsia="Times New Roman" w:cs="Times New Roman"/>
          <w:color w:val="000000"/>
          <w:sz w:val="24"/>
        </w:rPr>
        <w:t>We report linked findings labeled C1–C6 and S1–S3. C3 asks whether matched five-round SPADE returns greater certified volume than qLogNEI. C1 asks whether five-round SPADE differs detectably from ten-round qLogNEI on point regret. C2 compares regional containment and point regret with one screened and one unscreened response-surface DoE pipeline. C4 asks whether three-round SPADE improves point regret relative to one-shot Latin hypercube sampling. C5 and C6 examine family/prevalence scope. Supporting analyses S2 and S3 diagnose real-data posterior collapse and assay-specific calibration (reported as supporting information summaries). Finally, S1, a real-noise ceiling, and a later development gate that selected no protocol define where positive interpretation must stop.</w:t>
      </w:r>
    </w:p>
    <w:p>
      <w:pPr>
        <w:pStyle w:val="Heading1"/>
        <w:widowControl/>
      </w:pPr>
      <w:r>
        <w:rPr>
          <w:rFonts w:ascii="Times New Roman" w:hAnsi="Times New Roman" w:eastAsia="Times New Roman" w:cs="Times New Roman"/>
          <w:color w:val="000000"/>
          <w:sz w:val="24"/>
        </w:rPr>
        <w:t>Materials and Methods</w:t>
      </w:r>
    </w:p>
    <w:p>
      <w:pPr>
        <w:pStyle w:val="Heading2"/>
        <w:widowControl/>
      </w:pPr>
      <w:r>
        <w:rPr>
          <w:rFonts w:ascii="Times New Roman" w:hAnsi="Times New Roman" w:eastAsia="Times New Roman" w:cs="Times New Roman"/>
          <w:color w:val="000000"/>
          <w:sz w:val="24"/>
        </w:rPr>
        <w:t>Study design and evidence roles</w:t>
      </w:r>
    </w:p>
    <w:p>
      <w:pPr>
        <w:widowControl/>
      </w:pPr>
      <w:r>
        <w:rPr>
          <w:rFonts w:ascii="Times New Roman" w:hAnsi="Times New Roman" w:eastAsia="Times New Roman" w:cs="Times New Roman"/>
          <w:color w:val="000000"/>
          <w:sz w:val="24"/>
        </w:rPr>
        <w:t>The confirmatory DC and LC programs used five synthetic response families—Ackley, Hartmann6, biphasic Hill, Levy, and Rosenbrock—32 deterministic seeds per family, six normalized factors, 48 measured wells, and relative observation noise 0.25. TAU used 64 seeds per family. Hill varied by registered instance; other evaluators used fixed landscapes with design and noise varying by seed. Known latent truth was used only for synthetic scoring. These landscapes are structural test functions, not fits to endothelial-cell measurements.</w:t>
      </w:r>
    </w:p>
    <w:p>
      <w:pPr>
        <w:widowControl/>
      </w:pPr>
      <w:r>
        <w:rPr>
          <w:rFonts w:ascii="Times New Roman" w:hAnsi="Times New Roman" w:eastAsia="Times New Roman" w:cs="Times New Roman"/>
          <w:color w:val="000000"/>
          <w:sz w:val="24"/>
        </w:rPr>
        <w:t xml:space="preserve">For latent normalized response </w:t>
      </w:r>
      <m:oMath>
        <m:box>
          <m:e>
            <m:r>
              <m:rPr>
                <m:sty m:val="i"/>
              </m:rPr>
              <m:t>f</m:t>
            </m:r>
            <m:r>
              <m:rPr>
                <m:sty m:val="p"/>
              </m:rPr>
              <m:t>(</m:t>
            </m:r>
            <m:r>
              <m:rPr>
                <m:sty m:val="i"/>
              </m:rPr>
              <m:t>x</m:t>
            </m:r>
            <m:r>
              <m:rPr>
                <m:sty m:val="p"/>
              </m:rPr>
              <m:t>)</m:t>
            </m:r>
          </m:e>
        </m:box>
      </m:oMath>
      <w:r>
        <w:rPr>
          <w:rFonts w:ascii="Times New Roman" w:hAnsi="Times New Roman" w:eastAsia="Times New Roman" w:cs="Times New Roman"/>
          <w:color w:val="000000"/>
          <w:sz w:val="24"/>
        </w:rPr>
        <w:t xml:space="preserve"> on </w:t>
      </w:r>
      <m:oMath>
        <m:box>
          <m:e>
            <m:r>
              <m:rPr>
                <m:sty m:val="i"/>
              </m:rPr>
              <m:t>x</m:t>
            </m:r>
            <m:r>
              <m:rPr>
                <m:sty m:val="p"/>
              </m:rPr>
              <m:t>∈</m:t>
            </m:r>
            <m:r>
              <m:rPr>
                <m:sty m:val="p"/>
              </m:rPr>
              <m:t>[</m:t>
            </m:r>
            <m:r>
              <m:rPr>
                <m:sty m:val="p"/>
              </m:rPr>
              <m:t>0</m:t>
            </m:r>
            <m:r>
              <m:rPr>
                <m:sty m:val="p"/>
              </m:rPr>
              <m:t>,</m:t>
            </m:r>
            <m:r>
              <m:rPr>
                <m:sty m:val="p"/>
              </m:rPr>
              <m:t>1</m:t>
            </m:r>
            <m:sSup>
              <m:e>
                <m:r>
                  <m:rPr>
                    <m:sty m:val="p"/>
                  </m:rPr>
                  <m:t>]</m:t>
                </m:r>
              </m:e>
              <m:sup>
                <m:r>
                  <m:rPr>
                    <m:sty m:val="p"/>
                  </m:rPr>
                  <m:t>6</m:t>
                </m:r>
              </m:sup>
            </m:sSup>
          </m:e>
        </m:box>
      </m:oMath>
      <w:r>
        <w:rPr>
          <w:rFonts w:ascii="Times New Roman" w:hAnsi="Times New Roman" w:eastAsia="Times New Roman" w:cs="Times New Roman"/>
          <w:color w:val="000000"/>
          <w:sz w:val="24"/>
        </w:rPr>
        <w:t xml:space="preserve">, the threshold </w:t>
      </w:r>
      <m:oMath>
        <m:box>
          <m:e>
            <m:r>
              <m:rPr>
                <m:sty m:val="i"/>
              </m:rPr>
              <m:t>τ</m:t>
            </m:r>
          </m:e>
        </m:box>
      </m:oMath>
      <w:r>
        <w:rPr>
          <w:rFonts w:ascii="Times New Roman" w:hAnsi="Times New Roman" w:eastAsia="Times New Roman" w:cs="Times New Roman"/>
          <w:color w:val="000000"/>
          <w:sz w:val="24"/>
        </w:rPr>
        <w:t xml:space="preserve"> was the instance-specific truth quantile that produced the registered target prevalence </w:t>
      </w:r>
      <m:oMath>
        <m:box>
          <m:e>
            <m:r>
              <m:rPr>
                <m:sty m:val="i"/>
              </m:rPr>
              <m:t>p</m:t>
            </m:r>
          </m:e>
        </m:box>
      </m:oMath>
      <w:r>
        <w:rPr>
          <w:rFonts w:ascii="Times New Roman" w:hAnsi="Times New Roman" w:eastAsia="Times New Roman" w:cs="Times New Roman"/>
          <w:color w:val="000000"/>
          <w:sz w:val="24"/>
        </w:rPr>
        <w:t xml:space="preserve">. The acceptable region was </w:t>
      </w:r>
      <m:oMath>
        <m:box>
          <m:e>
            <m:sSub>
              <m:e>
                <m:r>
                  <m:rPr>
                    <m:sty m:val="i"/>
                  </m:rPr>
                  <m:t>Γ</m:t>
                </m:r>
              </m:e>
              <m:sub>
                <m:r>
                  <m:rPr>
                    <m:sty m:val="i"/>
                  </m:rPr>
                  <m:t>τ</m:t>
                </m:r>
              </m:sub>
            </m:sSub>
            <m:r>
              <m:rPr>
                <m:sty m:val="p"/>
              </m:rPr>
              <m:t>=</m:t>
            </m:r>
            <m:r>
              <m:rPr>
                <m:sty m:val="p"/>
              </m:rPr>
              <m:t>{</m:t>
            </m:r>
            <m:r>
              <m:rPr>
                <m:sty m:val="i"/>
              </m:rPr>
              <m:t>x</m:t>
            </m:r>
            <m:r>
              <m:rPr>
                <m:sty m:val="i"/>
              </m:rPr>
              <m:t>:</m:t>
            </m:r>
            <m:r>
              <m:rPr>
                <m:sty m:val="i"/>
              </m:rPr>
              <m:t>f</m:t>
            </m:r>
            <m:r>
              <m:rPr>
                <m:sty m:val="p"/>
              </m:rPr>
              <m:t>(</m:t>
            </m:r>
            <m:r>
              <m:rPr>
                <m:sty m:val="i"/>
              </m:rPr>
              <m:t>x</m:t>
            </m:r>
            <m:r>
              <m:rPr>
                <m:sty m:val="p"/>
              </m:rPr>
              <m:t>)</m:t>
            </m:r>
            <m:r>
              <m:rPr>
                <m:sty m:val="p"/>
              </m:rPr>
              <m:t>≥</m:t>
            </m:r>
            <m:r>
              <m:rPr>
                <m:sty m:val="i"/>
              </m:rPr>
              <m:t>τ</m:t>
            </m:r>
            <m:r>
              <m:rPr>
                <m:sty m:val="p"/>
              </m:rPr>
              <m:t>}</m:t>
            </m:r>
          </m:e>
        </m:box>
      </m:oMath>
      <w:r>
        <w:rPr>
          <w:rFonts w:ascii="Times New Roman" w:hAnsi="Times New Roman" w:eastAsia="Times New Roman" w:cs="Times New Roman"/>
          <w:color w:val="000000"/>
          <w:sz w:val="24"/>
        </w:rPr>
        <w:t>. Thresholds were computed on a 20,000-point Sobol truth grid with seed 0. A 2,000-point Sobol certificate-candidate and scoring subset at the same seed was used for posterior-region construction and truth-containment scoring. Each certificate used 4,096 joint posterior draws and 64 nested Vorob'ev levels.</w:t>
      </w:r>
    </w:p>
    <w:p>
      <w:pPr>
        <w:widowControl/>
      </w:pPr>
      <w:r>
        <w:rPr>
          <w:rFonts w:ascii="Times New Roman" w:hAnsi="Times New Roman" w:eastAsia="Times New Roman" w:cs="Times New Roman"/>
          <w:color w:val="000000"/>
          <w:sz w:val="24"/>
        </w:rPr>
        <w:t>DC supplied the one-process point comparison (C1) and DoE comparison (C2). LC supplied the leave-one-family-out matched-round comparison (C3). TAU supplied the prevalence and margin-to-noise analyses (C5/C6). TT tested the proposed targeting mechanism (S1). Retrospective in-house and published Hall–Ogle data supplied supporting uncertainty diagnostics (S2/S3), not prospective validation.</w:t>
      </w:r>
    </w:p>
    <w:p>
      <w:pPr>
        <w:widowControl/>
      </w:pPr>
      <w:r>
        <w:rPr>
          <w:rFonts w:ascii="Times New Roman" w:hAnsi="Times New Roman" w:eastAsia="Times New Roman" w:cs="Times New Roman"/>
          <w:color w:val="000000"/>
          <w:sz w:val="24"/>
        </w:rPr>
        <w:t>All synthetic arms used 48 wells. SPADE at three rounds used an opening of 32 followed by two batches of 8; SPADE at five rounds used an opening of 16 followed by four batches of 8. Matched qLogNEI R3 and R5 used the same respective allocations. qLogNEI R10 used a 14-point Sobol opening, eight batches of four, and a final batch of two. The screened DoE R3 workflow used a 20-run six-factor screen, a 27-run four-factor face-centred response-surface design, and one confirmation well. The registered unscreened comparator omitted screening, used one 47-run full-dimensional face-centred central-composite design, and measured one confirmation well; it retained the protocol's DoE R3 comparator label even though its executed measurements comprise design and confirmation stages. Equal wells therefore did not mean equal sequential rounds.</w:t>
      </w:r>
    </w:p>
    <w:p>
      <w:pPr>
        <w:keepNext/>
        <w:spacing w:before="120" w:after="60" w:line="240" w:lineRule="auto"/>
        <w:jc w:val="center"/>
      </w:pPr>
      <w:r>
        <w:drawing>
          <wp:inline xmlns:a="http://schemas.openxmlformats.org/drawingml/2006/main" xmlns:pic="http://schemas.openxmlformats.org/drawingml/2006/picture">
            <wp:extent cx="5897880" cy="2228025"/>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897880" cy="2228025"/>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1. Method selection under a fixed 48-well budget.</w:t>
      </w:r>
      <w:r>
        <w:rPr>
          <w:rFonts w:ascii="Times New Roman" w:hAnsi="Times New Roman" w:eastAsia="Times New Roman" w:cs="Times New Roman"/>
          <w:color w:val="000000"/>
          <w:sz w:val="20"/>
        </w:rPr>
        <w:t xml:space="preserve"> (A) Choose SPADE when the campaign must return a trusted operating region with honest abstention. (B) Choose a point optimizer (DoE or Bayesian optimization) when only one carry-forward recipe is required. (C) Under very high assay-like noise, abstain and replicate rather than claiming a region. This schematic defines the decision framing and contains no performance result.</w:t>
      </w:r>
    </w:p>
    <w:p>
      <w:pPr>
        <w:pStyle w:val="Heading2"/>
        <w:widowControl/>
      </w:pPr>
      <w:r>
        <w:rPr>
          <w:rFonts w:ascii="Times New Roman" w:hAnsi="Times New Roman" w:eastAsia="Times New Roman" w:cs="Times New Roman"/>
          <w:color w:val="000000"/>
          <w:sz w:val="24"/>
        </w:rPr>
        <w:t>SPADE architecture and comparators</w:t>
      </w:r>
    </w:p>
    <w:p>
      <w:pPr>
        <w:widowControl/>
      </w:pPr>
      <w:r>
        <w:rPr>
          <w:rFonts w:ascii="Times New Roman" w:hAnsi="Times New Roman" w:eastAsia="Times New Roman" w:cs="Times New Roman"/>
          <w:color w:val="000000"/>
          <w:sz w:val="24"/>
        </w:rPr>
        <w:t xml:space="preserve">Observations followed </w:t>
      </w:r>
      <m:oMath>
        <m:box>
          <m:e>
            <m:r>
              <m:rPr>
                <m:sty m:val="i"/>
              </m:rPr>
              <m:t>y</m:t>
            </m:r>
            <m:r>
              <m:rPr>
                <m:sty m:val="p"/>
              </m:rPr>
              <m:t>(</m:t>
            </m:r>
            <m:r>
              <m:rPr>
                <m:sty m:val="i"/>
              </m:rPr>
              <m:t>x</m:t>
            </m:r>
            <m:r>
              <m:rPr>
                <m:sty m:val="p"/>
              </m:rPr>
              <m:t>)</m:t>
            </m:r>
            <m:r>
              <m:rPr>
                <m:sty m:val="p"/>
              </m:rPr>
              <m:t>=</m:t>
            </m:r>
            <m:r>
              <m:rPr>
                <m:sty m:val="i"/>
              </m:rPr>
              <m:t>f</m:t>
            </m:r>
            <m:r>
              <m:rPr>
                <m:sty m:val="p"/>
              </m:rPr>
              <m:t>(</m:t>
            </m:r>
            <m:r>
              <m:rPr>
                <m:sty m:val="i"/>
              </m:rPr>
              <m:t>x</m:t>
            </m:r>
            <m:r>
              <m:rPr>
                <m:sty m:val="p"/>
              </m:rPr>
              <m:t>)</m:t>
            </m:r>
            <m:r>
              <m:rPr>
                <m:sty m:val="p"/>
              </m:rPr>
              <m:t>(</m:t>
            </m:r>
            <m:r>
              <m:rPr>
                <m:sty m:val="p"/>
              </m:rPr>
              <m:t>1</m:t>
            </m:r>
            <m:r>
              <m:rPr>
                <m:sty m:val="p"/>
              </m:rPr>
              <m:t>+</m:t>
            </m:r>
            <m:r>
              <m:rPr>
                <m:sty m:val="i"/>
              </m:rPr>
              <m:t>ϵ</m:t>
            </m:r>
            <m:r>
              <m:rPr>
                <m:sty m:val="p"/>
              </m:rPr>
              <m:t>)</m:t>
            </m:r>
            <m:r>
              <m:rPr>
                <m:sty m:val="p"/>
              </m:rPr>
              <m:t>+</m:t>
            </m:r>
            <m:r>
              <m:rPr>
                <m:sty m:val="i"/>
              </m:rPr>
              <m:t>η</m:t>
            </m:r>
          </m:e>
        </m:box>
      </m:oMath>
      <w:r>
        <w:rPr>
          <w:rFonts w:ascii="Times New Roman" w:hAnsi="Times New Roman" w:eastAsia="Times New Roman" w:cs="Times New Roman"/>
          <w:color w:val="000000"/>
          <w:sz w:val="24"/>
        </w:rPr>
        <w:t xml:space="preserve">, with </w:t>
      </w:r>
      <m:oMath>
        <m:box>
          <m:e>
            <m:r>
              <m:rPr>
                <m:sty m:val="i"/>
              </m:rPr>
              <m:t>ϵ</m:t>
            </m:r>
            <m:r>
              <m:rPr>
                <m:sty m:val="i"/>
              </m:rPr>
              <m:t>~</m:t>
            </m:r>
            <m:r>
              <m:rPr>
                <m:scr m:val="script"/>
                <m:sty m:val="i"/>
              </m:rPr>
              <m:t>N</m:t>
            </m:r>
            <m:r>
              <m:rPr>
                <m:sty m:val="p"/>
              </m:rPr>
              <m:t>(</m:t>
            </m:r>
            <m:r>
              <m:rPr>
                <m:sty m:val="p"/>
              </m:rPr>
              <m:t>0</m:t>
            </m:r>
            <m:r>
              <m:rPr>
                <m:sty m:val="p"/>
              </m:rPr>
              <m:t>,</m:t>
            </m:r>
            <m:sSubSup>
              <m:e>
                <m:r>
                  <m:rPr>
                    <m:sty m:val="i"/>
                  </m:rPr>
                  <m:t>σ</m:t>
                </m:r>
              </m:e>
              <m:sub>
                <m:box>
                  <m:e>
                    <m:r>
                      <m:rPr>
                        <m:sty m:val="p"/>
                      </m:rPr>
                      <m:t>rel</m:t>
                    </m:r>
                  </m:e>
                </m:box>
              </m:sub>
              <m:sup>
                <m:r>
                  <m:rPr>
                    <m:sty m:val="p"/>
                  </m:rPr>
                  <m:t>2</m:t>
                </m:r>
              </m:sup>
            </m:sSubSup>
            <m:r>
              <m:rPr>
                <m:sty m:val="p"/>
              </m:rPr>
              <m:t>)</m:t>
            </m:r>
          </m:e>
        </m:box>
      </m:oMath>
      <w:r>
        <w:rPr>
          <w:rFonts w:ascii="Times New Roman" w:hAnsi="Times New Roman" w:eastAsia="Times New Roman" w:cs="Times New Roman"/>
          <w:color w:val="000000"/>
          <w:sz w:val="24"/>
        </w:rPr>
        <w:t xml:space="preserve">, </w:t>
      </w:r>
      <m:oMath>
        <m:box>
          <m:e>
            <m:sSub>
              <m:e>
                <m:r>
                  <m:rPr>
                    <m:sty m:val="i"/>
                  </m:rPr>
                  <m:t>σ</m:t>
                </m:r>
              </m:e>
              <m:sub>
                <m:box>
                  <m:e>
                    <m:r>
                      <m:rPr>
                        <m:sty m:val="p"/>
                      </m:rPr>
                      <m:t>rel</m:t>
                    </m:r>
                  </m:e>
                </m:box>
              </m:sub>
            </m:sSub>
            <m:r>
              <m:rPr>
                <m:sty m:val="p"/>
              </m:rPr>
              <m:t>=</m:t>
            </m:r>
            <m:r>
              <m:rPr>
                <m:sty m:val="p"/>
              </m:rPr>
              <m:t>0.25</m:t>
            </m:r>
          </m:e>
        </m:box>
      </m:oMath>
      <w:r>
        <w:rPr>
          <w:rFonts w:ascii="Times New Roman" w:hAnsi="Times New Roman" w:eastAsia="Times New Roman" w:cs="Times New Roman"/>
          <w:color w:val="000000"/>
          <w:sz w:val="24"/>
        </w:rPr>
        <w:t xml:space="preserve">, and </w:t>
      </w:r>
      <m:oMath>
        <m:box>
          <m:e>
            <m:r>
              <m:rPr>
                <m:sty m:val="i"/>
              </m:rPr>
              <m:t>η</m:t>
            </m:r>
            <m:r>
              <m:rPr>
                <m:sty m:val="i"/>
              </m:rPr>
              <m:t>~</m:t>
            </m:r>
            <m:r>
              <m:rPr>
                <m:scr m:val="script"/>
                <m:sty m:val="i"/>
              </m:rPr>
              <m:t>N</m:t>
            </m:r>
            <m:r>
              <m:rPr>
                <m:sty m:val="p"/>
              </m:rPr>
              <m:t>(</m:t>
            </m:r>
            <m:r>
              <m:rPr>
                <m:sty m:val="p"/>
              </m:rPr>
              <m:t>0</m:t>
            </m:r>
            <m:r>
              <m:rPr>
                <m:sty m:val="p"/>
              </m:rPr>
              <m:t>,</m:t>
            </m:r>
            <m:sSup>
              <m:e>
                <m:r>
                  <m:rPr>
                    <m:sty m:val="p"/>
                  </m:rPr>
                  <m:t>0.01</m:t>
                </m:r>
              </m:e>
              <m:sup>
                <m:r>
                  <m:rPr>
                    <m:sty m:val="p"/>
                  </m:rPr>
                  <m:t>2</m:t>
                </m:r>
              </m:sup>
            </m:sSup>
            <m:r>
              <m:rPr>
                <m:sty m:val="p"/>
              </m:rPr>
              <m:t>)</m:t>
            </m:r>
          </m:e>
        </m:box>
      </m:oMath>
      <w:r>
        <w:rPr>
          <w:rFonts w:ascii="Times New Roman" w:hAnsi="Times New Roman" w:eastAsia="Times New Roman" w:cs="Times New Roman"/>
          <w:color w:val="000000"/>
          <w:sz w:val="24"/>
        </w:rPr>
        <w:t xml:space="preserve">. SPADE and qLogNEI supplied the GP with the raw-unit plug-in variance </w:t>
      </w:r>
      <m:oMath>
        <m:box>
          <m:e>
            <m:r>
              <m:rPr>
                <m:sty m:val="p"/>
              </m:rPr>
              <m:t>max</m:t>
            </m:r>
            <m:r>
              <m:rPr>
                <m:sty m:val="p"/>
              </m:rPr>
              <m:t>(</m:t>
            </m:r>
            <m:sSup>
              <m:e>
                <m:r>
                  <m:rPr>
                    <m:sty m:val="i"/>
                  </m:rPr>
                  <m:t>y</m:t>
                </m:r>
              </m:e>
              <m:sup>
                <m:r>
                  <m:rPr>
                    <m:sty m:val="p"/>
                  </m:rPr>
                  <m:t>2</m:t>
                </m:r>
              </m:sup>
            </m:sSup>
            <m:sSubSup>
              <m:e>
                <m:r>
                  <m:rPr>
                    <m:sty m:val="i"/>
                  </m:rPr>
                  <m:t>σ</m:t>
                </m:r>
              </m:e>
              <m:sub>
                <m:box>
                  <m:e>
                    <m:r>
                      <m:rPr>
                        <m:sty m:val="p"/>
                      </m:rPr>
                      <m:t>rel</m:t>
                    </m:r>
                  </m:e>
                </m:box>
              </m:sub>
              <m:sup>
                <m:r>
                  <m:rPr>
                    <m:sty m:val="p"/>
                  </m:rPr>
                  <m:t>2</m:t>
                </m:r>
              </m:sup>
            </m:sSubSup>
            <m:r>
              <m:rPr>
                <m:sty m:val="p"/>
              </m:rPr>
              <m:t>+</m:t>
            </m:r>
            <m:sSup>
              <m:e>
                <m:r>
                  <m:rPr>
                    <m:sty m:val="p"/>
                  </m:rPr>
                  <m:t>0.01</m:t>
                </m:r>
              </m:e>
              <m:sup>
                <m:r>
                  <m:rPr>
                    <m:sty m:val="p"/>
                  </m:rPr>
                  <m:t>2</m:t>
                </m:r>
              </m:sup>
            </m:sSup>
            <m:r>
              <m:rPr>
                <m:sty m:val="p"/>
              </m:rPr>
              <m:t>,</m:t>
            </m:r>
            <m:sSup>
              <m:e>
                <m:r>
                  <m:rPr>
                    <m:sty m:val="p"/>
                  </m:rPr>
                  <m:t>0.01</m:t>
                </m:r>
              </m:e>
              <m:sup>
                <m:r>
                  <m:rPr>
                    <m:sty m:val="p"/>
                  </m:rPr>
                  <m:t>2</m:t>
                </m:r>
              </m:sup>
            </m:sSup>
            <m:r>
              <m:rPr>
                <m:sty m:val="p"/>
              </m:rPr>
              <m:t>)</m:t>
            </m:r>
          </m:e>
        </m:box>
      </m:oMath>
      <w:r>
        <w:rPr>
          <w:rFonts w:ascii="Times New Roman" w:hAnsi="Times New Roman" w:eastAsia="Times New Roman" w:cs="Times New Roman"/>
          <w:color w:val="000000"/>
          <w:sz w:val="24"/>
        </w:rPr>
        <w:t xml:space="preserve">, computed from the observed value rather than latent truth. The DoE adapters lacked per-well variances and used their registered arm-constant plug-in </w:t>
      </w:r>
      <m:oMath>
        <m:box>
          <m:e>
            <m:sSubSup>
              <m:e>
                <m:r>
                  <m:rPr>
                    <m:sty m:val="i"/>
                  </m:rPr>
                  <m:t>σ</m:t>
                </m:r>
              </m:e>
              <m:sub>
                <m:box>
                  <m:e>
                    <m:r>
                      <m:rPr>
                        <m:sty m:val="p"/>
                      </m:rPr>
                      <m:t>rel</m:t>
                    </m:r>
                  </m:e>
                </m:box>
              </m:sub>
              <m:sup>
                <m:r>
                  <m:rPr>
                    <m:sty m:val="p"/>
                  </m:rPr>
                  <m:t>2</m:t>
                </m:r>
              </m:sup>
            </m:sSubSup>
            <m:sSup>
              <m:e>
                <m:limUpp>
                  <m:e>
                    <m:box>
                      <m:e>
                        <m:r>
                          <m:rPr>
                            <m:sty m:val="p"/>
                          </m:rPr>
                          <m:t>|</m:t>
                        </m:r>
                        <m:r>
                          <m:rPr>
                            <m:sty m:val="i"/>
                          </m:rPr>
                          <m:t>y</m:t>
                        </m:r>
                        <m:r>
                          <m:rPr>
                            <m:sty m:val="p"/>
                          </m:rPr>
                          <m:t>|</m:t>
                        </m:r>
                      </m:e>
                    </m:box>
                  </m:e>
                  <m:lim>
                    <m:r>
                      <m:rPr>
                        <m:sty m:val="p"/>
                      </m:rPr>
                      <m:t>―</m:t>
                    </m:r>
                  </m:lim>
                </m:limUpp>
              </m:e>
              <m:sup>
                <m:r>
                  <m:rPr>
                    <m:sty m:val="p"/>
                  </m:rPr>
                  <m:t>2</m:t>
                </m:r>
              </m:sup>
            </m:sSup>
          </m:e>
        </m:box>
      </m:oMath>
      <w:r>
        <w:rPr>
          <w:rFonts w:ascii="Times New Roman" w:hAnsi="Times New Roman" w:eastAsia="Times New Roman" w:cs="Times New Roman"/>
          <w:color w:val="000000"/>
          <w:sz w:val="24"/>
        </w:rPr>
        <w:t>.</w:t>
      </w:r>
    </w:p>
    <w:p>
      <w:pPr>
        <w:widowControl/>
      </w:pPr>
      <w:r>
        <w:rPr>
          <w:rFonts w:ascii="Times New Roman" w:hAnsi="Times New Roman" w:eastAsia="Times New Roman" w:cs="Times New Roman"/>
          <w:color w:val="000000"/>
          <w:sz w:val="24"/>
        </w:rPr>
        <w:t xml:space="preserve">The common outcome model was a fixed-noise </w:t>
      </w:r>
      <w:r>
        <w:rPr>
          <w:rFonts w:ascii="Times New Roman" w:hAnsi="Times New Roman" w:eastAsia="Times New Roman" w:cs="Times New Roman"/>
          <w:i/>
          <w:color w:val="000000"/>
          <w:sz w:val="24"/>
        </w:rPr>
        <w:t>SingleTaskGP</w:t>
      </w:r>
      <w:r>
        <w:rPr>
          <w:rFonts w:ascii="Times New Roman" w:hAnsi="Times New Roman" w:eastAsia="Times New Roman" w:cs="Times New Roman"/>
          <w:color w:val="000000"/>
          <w:sz w:val="24"/>
        </w:rPr>
        <w:t xml:space="preserve"> with explicit unit-box input normalization, standardized outcomes, a fitted constant mean, and a scaled Matérn-5/2 kernel with automatic relevance determination and a dimension-scaled length-scale prior. Hyperparameters were fitted by exact marginal likelihood. SPADE began with the Sobol space-filling opening, refitted after every later batch, and used its registered conservative-set straddle implementation for adaptive high-response sampling. The implemented historical acquisition is retained because the target-aligned replacement did not demonstrate improvement or earn adoption and worsened regret; no claim here attributes the results to successful threshold targeting.</w:t>
      </w:r>
    </w:p>
    <w:p>
      <w:pPr>
        <w:widowControl/>
      </w:pPr>
      <w:r>
        <w:rPr>
          <w:rFonts w:ascii="Times New Roman" w:hAnsi="Times New Roman" w:eastAsia="Times New Roman" w:cs="Times New Roman"/>
          <w:color w:val="000000"/>
          <w:sz w:val="24"/>
        </w:rPr>
        <w:t xml:space="preserve">For posterior draw </w:t>
      </w:r>
      <m:oMath>
        <m:box>
          <m:e>
            <m:r>
              <m:rPr>
                <m:sty m:val="i"/>
              </m:rPr>
              <m:t>b</m:t>
            </m:r>
          </m:e>
        </m:box>
      </m:oMath>
      <w:r>
        <w:rPr>
          <w:rFonts w:ascii="Times New Roman" w:hAnsi="Times New Roman" w:eastAsia="Times New Roman" w:cs="Times New Roman"/>
          <w:color w:val="000000"/>
          <w:sz w:val="24"/>
        </w:rPr>
        <w:t xml:space="preserve">, the finite-grid excursion set was </w:t>
      </w:r>
      <m:oMath>
        <m:box>
          <m:e>
            <m:sSubSup>
              <m:e>
                <m:r>
                  <m:rPr>
                    <m:sty m:val="i"/>
                  </m:rPr>
                  <m:t>Γ</m:t>
                </m:r>
              </m:e>
              <m:sub>
                <m:r>
                  <m:rPr>
                    <m:sty m:val="i"/>
                  </m:rPr>
                  <m:t>τ</m:t>
                </m:r>
              </m:sub>
              <m:sup>
                <m:box>
                  <m:e>
                    <m:r>
                      <m:rPr>
                        <m:sty m:val="p"/>
                      </m:rPr>
                      <m:t>(</m:t>
                    </m:r>
                    <m:r>
                      <m:rPr>
                        <m:sty m:val="i"/>
                      </m:rPr>
                      <m:t>b</m:t>
                    </m:r>
                    <m:r>
                      <m:rPr>
                        <m:sty m:val="p"/>
                      </m:rPr>
                      <m:t>)</m:t>
                    </m:r>
                  </m:e>
                </m:box>
              </m:sup>
            </m:sSubSup>
            <m:r>
              <m:rPr>
                <m:sty m:val="p"/>
              </m:rPr>
              <m:t>=</m:t>
            </m:r>
            <m:r>
              <m:rPr>
                <m:sty m:val="p"/>
              </m:rPr>
              <m:t>{</m:t>
            </m:r>
            <m:r>
              <m:rPr>
                <m:sty m:val="i"/>
              </m:rPr>
              <m:t>x</m:t>
            </m:r>
            <m:r>
              <m:rPr>
                <m:sty m:val="i"/>
              </m:rPr>
              <m:t>:</m:t>
            </m:r>
            <m:sSup>
              <m:e>
                <m:r>
                  <m:rPr>
                    <m:sty m:val="i"/>
                  </m:rPr>
                  <m:t>f</m:t>
                </m:r>
              </m:e>
              <m:sup>
                <m:box>
                  <m:e>
                    <m:r>
                      <m:rPr>
                        <m:sty m:val="p"/>
                      </m:rPr>
                      <m:t>(</m:t>
                    </m:r>
                    <m:r>
                      <m:rPr>
                        <m:sty m:val="i"/>
                      </m:rPr>
                      <m:t>b</m:t>
                    </m:r>
                    <m:r>
                      <m:rPr>
                        <m:sty m:val="p"/>
                      </m:rPr>
                      <m:t>)</m:t>
                    </m:r>
                  </m:e>
                </m:box>
              </m:sup>
            </m:sSup>
            <m:r>
              <m:rPr>
                <m:sty m:val="p"/>
              </m:rPr>
              <m:t>(</m:t>
            </m:r>
            <m:r>
              <m:rPr>
                <m:sty m:val="i"/>
              </m:rPr>
              <m:t>x</m:t>
            </m:r>
            <m:r>
              <m:rPr>
                <m:sty m:val="p"/>
              </m:rPr>
              <m:t>)</m:t>
            </m:r>
            <m:r>
              <m:rPr>
                <m:sty m:val="p"/>
              </m:rPr>
              <m:t>≥</m:t>
            </m:r>
            <m:r>
              <m:rPr>
                <m:sty m:val="i"/>
              </m:rPr>
              <m:t>τ</m:t>
            </m:r>
            <m:r>
              <m:rPr>
                <m:sty m:val="p"/>
              </m:rPr>
              <m:t>}</m:t>
            </m:r>
          </m:e>
        </m:box>
      </m:oMath>
      <w:r>
        <w:rPr>
          <w:rFonts w:ascii="Times New Roman" w:hAnsi="Times New Roman" w:eastAsia="Times New Roman" w:cs="Times New Roman"/>
          <w:color w:val="000000"/>
          <w:sz w:val="24"/>
        </w:rPr>
        <w:t xml:space="preserve"> on the 2,000-point scoring grid. The 4,096 draws formed a coverage function and 64 nested Vorob'ev candidates. For each inflation </w:t>
      </w:r>
      <m:oMath>
        <m:box>
          <m:e>
            <m:r>
              <m:rPr>
                <m:sty m:val="i"/>
              </m:rPr>
              <m:t>c</m:t>
            </m:r>
            <m:r>
              <m:rPr>
                <m:sty m:val="p"/>
              </m:rPr>
              <m:t>∈</m:t>
            </m:r>
            <m:r>
              <m:rPr>
                <m:sty m:val="p"/>
              </m:rPr>
              <m:t>{</m:t>
            </m:r>
            <m:r>
              <m:rPr>
                <m:sty m:val="p"/>
              </m:rPr>
              <m:t>1.0</m:t>
            </m:r>
            <m:r>
              <m:rPr>
                <m:sty m:val="p"/>
              </m:rPr>
              <m:t>,</m:t>
            </m:r>
            <m:r>
              <m:rPr>
                <m:sty m:val="p"/>
              </m:rPr>
              <m:t>1.5</m:t>
            </m:r>
            <m:r>
              <m:rPr>
                <m:sty m:val="p"/>
              </m:rPr>
              <m:t>,</m:t>
            </m:r>
            <m:r>
              <m:rPr>
                <m:sty m:val="p"/>
              </m:rPr>
              <m:t>2.0</m:t>
            </m:r>
            <m:r>
              <m:rPr>
                <m:sty m:val="p"/>
              </m:rPr>
              <m:t>,</m:t>
            </m:r>
            <m:r>
              <m:rPr>
                <m:sty m:val="p"/>
              </m:rPr>
              <m:t>3.0</m:t>
            </m:r>
            <m:r>
              <m:rPr>
                <m:sty m:val="p"/>
              </m:rPr>
              <m:t>}</m:t>
            </m:r>
          </m:e>
        </m:box>
      </m:oMath>
      <w:r>
        <w:rPr>
          <w:rFonts w:ascii="Times New Roman" w:hAnsi="Times New Roman" w:eastAsia="Times New Roman" w:cs="Times New Roman"/>
          <w:color w:val="000000"/>
          <w:sz w:val="24"/>
        </w:rPr>
        <w:t>, the common downstream estimator returned the largest scanned candidate whose same-draw Monte Carlo posterior joint containment reached alpha=0.95. “Largest” means largest in that finite nested family, not a global optimum over all continuous subsets. If no non-empty candidate passed, the procedure abstained.</w:t>
      </w:r>
    </w:p>
    <w:p>
      <w:pPr>
        <w:widowControl/>
      </w:pPr>
      <w:r>
        <w:rPr>
          <w:rFonts w:ascii="Times New Roman" w:hAnsi="Times New Roman" w:eastAsia="Times New Roman" w:cs="Times New Roman"/>
          <w:color w:val="000000"/>
          <w:sz w:val="24"/>
        </w:rPr>
        <w:t>qLogNEI used the same GP outcome model and well budget while allocating batches by noisy expected improvement. Its observations were passed through the common posterior conservative-set estimator; regional certificates are therefore common post-processing, not an intrinsic qLogNEI output. Screened DoE used a 20-run six-factor screen, a 27-run face-centred response-surface design in four factors, and one confirmation well. The unscreened arm retained the low-order workflow without screening. These implementations do not represent all BO or classical-design methods.</w:t>
      </w:r>
    </w:p>
    <w:p>
      <w:pPr>
        <w:pStyle w:val="Heading2"/>
        <w:widowControl/>
      </w:pPr>
      <w:r>
        <w:rPr>
          <w:rFonts w:ascii="Times New Roman" w:hAnsi="Times New Roman" w:eastAsia="Times New Roman" w:cs="Times New Roman"/>
          <w:color w:val="000000"/>
          <w:sz w:val="24"/>
        </w:rPr>
        <w:t>Outcomes and calibration</w:t>
      </w:r>
    </w:p>
    <w:p>
      <w:pPr>
        <w:widowControl/>
      </w:pPr>
      <w:r>
        <w:rPr>
          <w:rFonts w:ascii="Times New Roman" w:hAnsi="Times New Roman" w:eastAsia="Times New Roman" w:cs="Times New Roman"/>
          <w:color w:val="000000"/>
          <w:sz w:val="24"/>
        </w:rPr>
        <w:t xml:space="preserve">The terminal point recommendation was the visited condition with the largest observed response; it was then scored by latent truth. Because each family was normalized to optimum one, simple regret was </w:t>
      </w:r>
      <m:oMath>
        <m:box>
          <m:e>
            <m:r>
              <m:rPr>
                <m:sty m:val="p"/>
              </m:rPr>
              <m:t>1</m:t>
            </m:r>
            <m:r>
              <m:rPr>
                <m:sty m:val="p"/>
              </m:rPr>
              <m:t>−</m:t>
            </m:r>
            <m:r>
              <m:rPr>
                <m:sty m:val="i"/>
              </m:rPr>
              <m:t>f</m:t>
            </m:r>
            <m:r>
              <m:rPr>
                <m:sty m:val="p"/>
              </m:rPr>
              <m:t>(</m:t>
            </m:r>
            <m:limUpp>
              <m:e>
                <m:r>
                  <m:rPr>
                    <m:sty m:val="i"/>
                  </m:rPr>
                  <m:t>x</m:t>
                </m:r>
              </m:e>
              <m:lim>
                <m:r>
                  <m:rPr>
                    <m:sty m:val="p"/>
                  </m:rPr>
                  <m:t>^</m:t>
                </m:r>
              </m:lim>
            </m:limUpp>
            <m:r>
              <m:rPr>
                <m:sty m:val="p"/>
              </m:rPr>
              <m:t>)</m:t>
            </m:r>
          </m:e>
        </m:box>
      </m:oMath>
      <w:r>
        <w:rPr>
          <w:rFonts w:ascii="Times New Roman" w:hAnsi="Times New Roman" w:eastAsia="Times New Roman" w:cs="Times New Roman"/>
          <w:color w:val="000000"/>
          <w:sz w:val="24"/>
        </w:rPr>
        <w:t>. This prevents crediting a method for visiting a strong point that its noisy observations did not identify.</w:t>
      </w:r>
    </w:p>
    <w:p>
      <w:pPr>
        <w:widowControl/>
      </w:pPr>
      <w:r>
        <w:rPr>
          <w:rFonts w:ascii="Times New Roman" w:hAnsi="Times New Roman" w:eastAsia="Times New Roman" w:cs="Times New Roman"/>
          <w:color w:val="000000"/>
          <w:sz w:val="24"/>
        </w:rPr>
        <w:t>A regional answered outcome was a non-empty returned conservative set. contained recorded whether an answered set was a subset of the known synthetic acceptable region; answer rate was answered divided by eligible cells, conditional empirical containment was contained divided by answered, and certified volume was the returned fraction of the 2,000-point scoring grid. Abstention was not counted as containment. The registered cross-cell gate required a one-sided 95% Clopper–Pearson lower bound of at least 0.90 among answered cells and answer rate of at least 0.05.</w:t>
      </w:r>
    </w:p>
    <w:p>
      <w:pPr>
        <w:widowControl/>
      </w:pPr>
      <w:r>
        <w:rPr>
          <w:rFonts w:ascii="Times New Roman" w:hAnsi="Times New Roman" w:eastAsia="Times New Roman" w:cs="Times New Roman"/>
          <w:color w:val="000000"/>
          <w:sz w:val="24"/>
        </w:rPr>
        <w:t>C3 selected the smallest posterior inflation c that passed the registered rule on four families and evaluated volume on the held-out fifth family. It pooled prevalence 0.30 and 0.10, yielding five families x 32 seeds x two prevalences = 320 dependent family-seed-prevalence cells. C2 used a weaker procedure: SPADE selected c=1 within the DC cells themselves. Neither DoE arm passed at any tested inflation, so its reported counts are fallback diagnostics at baseline c=1. C2 is within-sample and not transportable; it is not the held-out-family calibration used for C3.</w:t>
      </w:r>
    </w:p>
    <w:p>
      <w:pPr>
        <w:widowControl/>
      </w:pPr>
      <w:r>
        <w:rPr>
          <w:rFonts w:ascii="Times New Roman" w:hAnsi="Times New Roman" w:eastAsia="Times New Roman" w:cs="Times New Roman"/>
          <w:color w:val="000000"/>
          <w:sz w:val="24"/>
        </w:rPr>
        <w:t>Earlier prospective map scoring used a fixed 0.50 cutoff. Its archived certificate count is a posterior self-consistency check, not empirical containment against the oracle. The retrospective terminal-rule comparison also used a common GP for all arms: a 20,000-point screen, twenty restarts and 4,096 raw starts. Earlier quadratic response-surface diagnostics are separate and are not substituted for that recommender.</w:t>
      </w:r>
    </w:p>
    <w:p>
      <w:pPr>
        <w:pStyle w:val="Heading2"/>
        <w:widowControl/>
      </w:pPr>
      <w:r>
        <w:rPr>
          <w:rFonts w:ascii="Times New Roman" w:hAnsi="Times New Roman" w:eastAsia="Times New Roman" w:cs="Times New Roman"/>
          <w:color w:val="000000"/>
          <w:sz w:val="24"/>
        </w:rPr>
        <w:t>Statistical analysis</w:t>
      </w:r>
    </w:p>
    <w:p>
      <w:pPr>
        <w:widowControl/>
      </w:pPr>
      <w:r>
        <w:rPr>
          <w:rFonts w:ascii="Times New Roman" w:hAnsi="Times New Roman" w:eastAsia="Times New Roman" w:cs="Times New Roman"/>
          <w:color w:val="000000"/>
          <w:sz w:val="24"/>
        </w:rPr>
        <w:t>Contrasts were paired by family and seed or by family, seed, and prevalence. Frozen analysers used 8,000 ordinary nonparametric resamples of flat contrast rows, percentile intervals, and two-sided bootstrap tail-area proportions relative to zero. With 8,000 resamples the finest non-zero two-sided tail probability that can be reported is 1/8,000 = 0.000125; we therefore write p &lt; 0.000125 rather than a finer bound. Point regret used a registered smallest effect of interest of ±0.02. No smallest effect of interest was registered for certified volume; volume contrasts are interpreted as directional evidence for the tested regional decision. The flat-cell bootstrap treats cells as exchangeable. Because rows can share families, landscapes, seeds, prevalences, and campaigns, its intervals are conditional descriptive summaries and may be too narrow under dependence; cells are not independent campaigns. Pooled Clopper–Pearson bounds similarly assume an ordinary binomial model.</w:t>
      </w:r>
    </w:p>
    <w:p>
      <w:pPr>
        <w:widowControl/>
      </w:pPr>
      <w:r>
        <w:rPr>
          <w:rFonts w:ascii="Times New Roman" w:hAnsi="Times New Roman" w:eastAsia="Times New Roman" w:cs="Times New Roman"/>
          <w:color w:val="000000"/>
          <w:sz w:val="24"/>
        </w:rPr>
        <w:t>The regret smallest effect of interest was 0.02. An interval extending beyond that boundary was not interpreted as equivalence. The C5 Spearman coefficient is descriptive over 25 nested, nonexchangeable family-prevalence cells; no naive independence-based p-value is interpreted.</w:t>
      </w:r>
    </w:p>
    <w:p>
      <w:pPr>
        <w:pStyle w:val="Heading2"/>
        <w:widowControl/>
      </w:pPr>
      <w:r>
        <w:rPr>
          <w:rFonts w:ascii="Times New Roman" w:hAnsi="Times New Roman" w:eastAsia="Times New Roman" w:cs="Times New Roman"/>
          <w:color w:val="000000"/>
          <w:sz w:val="24"/>
        </w:rPr>
        <w:t>Reproducibility</w:t>
      </w:r>
    </w:p>
    <w:p>
      <w:pPr>
        <w:widowControl/>
      </w:pPr>
      <w:r>
        <w:rPr>
          <w:rFonts w:ascii="Times New Roman" w:hAnsi="Times New Roman" w:eastAsia="Times New Roman" w:cs="Times New Roman"/>
          <w:color w:val="000000"/>
          <w:sz w:val="24"/>
        </w:rPr>
        <w:t xml:space="preserve">Analyses used Python 3.11 with PyTorch, GPyTorch, BoTorch, NumPy, SciPy, pandas, and scikit-learn. Frozen inputs, producing commands, exact estimates, guard coverage, and limitations are indexed in </w:t>
      </w:r>
      <w:r>
        <w:rPr>
          <w:rFonts w:ascii="Courier New" w:hAnsi="Courier New" w:eastAsia="Courier New" w:cs="Courier New"/>
          <w:color w:val="000000"/>
          <w:sz w:val="22"/>
        </w:rPr>
        <w:t>manuscript/CLAIMS-AND-SOURCES.md</w:t>
      </w:r>
      <w:r>
        <w:rPr>
          <w:rFonts w:ascii="Times New Roman" w:hAnsi="Times New Roman" w:eastAsia="Times New Roman" w:cs="Times New Roman"/>
          <w:color w:val="000000"/>
          <w:sz w:val="24"/>
        </w:rPr>
        <w:t xml:space="preserve">. The active PLOS source remains in this repository. Consolidated C1–C6/S1 provenance is pinned to repository commit </w:t>
      </w:r>
      <w:r>
        <w:rPr>
          <w:rFonts w:ascii="Times New Roman" w:hAnsi="Times New Roman" w:eastAsia="Times New Roman" w:cs="Times New Roman"/>
          <w:i/>
          <w:color w:val="000000"/>
          <w:sz w:val="24"/>
        </w:rPr>
        <w:t>ec14bc7</w:t>
      </w:r>
      <w:r>
        <w:rPr>
          <w:rFonts w:ascii="Times New Roman" w:hAnsi="Times New Roman" w:eastAsia="Times New Roman" w:cs="Times New Roman"/>
          <w:color w:val="000000"/>
          <w:sz w:val="24"/>
        </w:rPr>
        <w:t xml:space="preserve">; the ledger gives portable </w:t>
      </w:r>
      <w:r>
        <w:rPr>
          <w:rFonts w:ascii="Times New Roman" w:hAnsi="Times New Roman" w:eastAsia="Times New Roman" w:cs="Times New Roman"/>
          <w:i/>
          <w:color w:val="000000"/>
          <w:sz w:val="24"/>
        </w:rPr>
        <w:t>git show</w:t>
      </w:r>
      <w:r>
        <w:rPr>
          <w:rFonts w:ascii="Times New Roman" w:hAnsi="Times New Roman" w:eastAsia="Times New Roman" w:cs="Times New Roman"/>
          <w:color w:val="000000"/>
          <w:sz w:val="24"/>
        </w:rPr>
        <w:t xml:space="preserve"> and detached-worktree instructions. No frozen result was changed for this rewrite.</w:t>
      </w:r>
    </w:p>
    <w:p>
      <w:pPr>
        <w:pStyle w:val="Heading2"/>
        <w:widowControl/>
      </w:pPr>
      <w:r>
        <w:rPr>
          <w:rFonts w:ascii="Times New Roman" w:hAnsi="Times New Roman" w:eastAsia="Times New Roman" w:cs="Times New Roman"/>
          <w:color w:val="000000"/>
          <w:sz w:val="24"/>
        </w:rPr>
        <w:t>Artificial intelligence assistance</w:t>
      </w:r>
    </w:p>
    <w:p>
      <w:pPr>
        <w:widowControl/>
      </w:pPr>
      <w:r>
        <w:rPr>
          <w:rFonts w:ascii="Times New Roman" w:hAnsi="Times New Roman" w:eastAsia="Times New Roman" w:cs="Times New Roman"/>
          <w:color w:val="000000"/>
          <w:sz w:val="24"/>
        </w:rPr>
        <w:t>OpenAI Codex (GPT-based coding assistant) assisted with manuscript drafting and revision, source-code inspection, figure-generation scripts, and document formatting. The authors reviewed and edited all AI-assisted text and take responsibility for the scientific interpretation, references, code, figures, and reported results. No generative AI system was used to create experimental data.</w:t>
      </w:r>
    </w:p>
    <w:p>
      <w:pPr>
        <w:pStyle w:val="Heading1"/>
        <w:widowControl/>
      </w:pPr>
      <w:r>
        <w:rPr>
          <w:rFonts w:ascii="Times New Roman" w:hAnsi="Times New Roman" w:eastAsia="Times New Roman" w:cs="Times New Roman"/>
          <w:color w:val="000000"/>
          <w:sz w:val="24"/>
        </w:rPr>
        <w:t>Results</w:t>
      </w:r>
    </w:p>
    <w:p>
      <w:pPr>
        <w:pStyle w:val="Heading2"/>
        <w:widowControl/>
      </w:pPr>
      <w:r>
        <w:rPr>
          <w:rFonts w:ascii="Times New Roman" w:hAnsi="Times New Roman" w:eastAsia="Times New Roman" w:cs="Times New Roman"/>
          <w:color w:val="000000"/>
          <w:sz w:val="24"/>
        </w:rPr>
        <w:t>Matched five-round SPADE returned greater certified volume</w:t>
      </w:r>
    </w:p>
    <w:p>
      <w:pPr>
        <w:widowControl/>
      </w:pPr>
      <w:r>
        <w:rPr>
          <w:rFonts w:ascii="Times New Roman" w:hAnsi="Times New Roman" w:eastAsia="Times New Roman" w:cs="Times New Roman"/>
          <w:color w:val="000000"/>
          <w:sz w:val="24"/>
        </w:rPr>
        <w:t>Table 1 states the local certification dimensions for C3. Under registered leave-one-family-out calibration, five-round SPADE returned greater certified volume than five-round qLogNEI. Mean certified volumes on the 2,000-point scoring grid were 0.000864 for SPADE and 0.000009 for qLogNEI (about a 92-fold ratio). The SPADE-minus-qLogNEI difference was +0.000855 (95% CI [+0.000691, +0.001028], p &lt; 0.000125, n = 320 dependent cells). Because certified volume is a fraction of that grid, one grid point equals 0.0005 of volume; the mean difference is about 1.7 grid points. No smallest effect of interest was registered for volume, so we treat this as directional support for the tested operating-region decision rather than a universal method ranking. The analogous positive three-round claim was withdrawn after extension to 32 seeds.</w:t>
      </w:r>
    </w:p>
    <w:p>
      <w:pPr>
        <w:keepNext/>
        <w:spacing w:before="120" w:after="60" w:line="240" w:lineRule="auto"/>
        <w:jc w:val="center"/>
      </w:pPr>
      <w:r>
        <w:drawing>
          <wp:inline xmlns:a="http://schemas.openxmlformats.org/drawingml/2006/main" xmlns:pic="http://schemas.openxmlformats.org/drawingml/2006/picture">
            <wp:extent cx="5897880" cy="2328459"/>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897880" cy="2328459"/>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2. SPADE’s primary advantage: trusted operating regions.</w:t>
      </w:r>
      <w:r>
        <w:rPr>
          <w:rFonts w:ascii="Times New Roman" w:hAnsi="Times New Roman" w:eastAsia="Times New Roman" w:cs="Times New Roman"/>
          <w:color w:val="000000"/>
          <w:sz w:val="20"/>
        </w:rPr>
        <w:t xml:space="preserve"> (A) Certified-volume difference (SPADE minus qLogNEI) at matched five rounds: +0.000855 (95% CI [+0.000691, +0.001028], p &lt; 0.000125, n = 320). Absolute means were 0.000864 (SPADE) and 0.000009 (qLogNEI) on the 2,000-point grid (one point = 0.0005 of volume). (B) Observed truth containment among answered regions at prevalence 0.30: SPADE 66/66 versus screened DoE 85/122 and unscreened DoE 77/134. Unconditional contained counts are 66/160, 85/160, and 77/160.</w:t>
      </w:r>
    </w:p>
    <w:p>
      <w:pPr>
        <w:keepNext/>
        <w:keepLines/>
        <w:widowControl/>
      </w:pPr>
      <w:r>
        <w:rPr>
          <w:rFonts w:ascii="Times New Roman" w:hAnsi="Times New Roman" w:eastAsia="Times New Roman" w:cs="Times New Roman"/>
          <w:b/>
          <w:color w:val="000000"/>
          <w:sz w:val="24"/>
        </w:rPr>
        <w:t>Table 1. C3 matched-round regional comparison.</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1170"/>
        <w:gridCol w:w="1170"/>
        <w:gridCol w:w="1170"/>
        <w:gridCol w:w="1170"/>
        <w:gridCol w:w="1170"/>
        <w:gridCol w:w="1170"/>
        <w:gridCol w:w="1170"/>
        <w:gridCol w:w="1170"/>
      </w:tblGrid>
      <w:tr>
        <w:trPr>
          <w:cantSplit/>
          <w:tblHeader w:val="true"/>
        </w:trPr>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Scope</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Prevalence</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Noise</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Assurance</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Calibration</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 rounds</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Seeds and denominator</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Result</w:t>
            </w:r>
          </w:p>
        </w:tc>
      </w:tr>
      <w:tr>
        <w:trPr>
          <w:cantSplit/>
        </w:trPr>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Five synthetic families; SPADE vs qLogNEI</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0.30 and 0.10</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0.25</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0.95</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LOFO inflation over c={1,1.5,2,3}</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 R5 vs R5</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32/family; 320 dependent family-seed-prevalence cells</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Volume difference +0.000855</w:t>
            </w:r>
          </w:p>
        </w:tc>
      </w:tr>
    </w:tbl>
    <w:p>
      <w:pPr>
        <w:spacing w:after="40"/>
      </w:pPr>
    </w:p>
    <w:p>
      <w:pPr>
        <w:pStyle w:val="Heading2"/>
        <w:widowControl/>
      </w:pPr>
      <w:r>
        <w:rPr>
          <w:rFonts w:ascii="Times New Roman" w:hAnsi="Times New Roman" w:eastAsia="Times New Roman" w:cs="Times New Roman"/>
          <w:color w:val="000000"/>
          <w:sz w:val="24"/>
        </w:rPr>
        <w:t>Point regret showed no detectable difference from longer qLogNEI</w:t>
      </w:r>
    </w:p>
    <w:p>
      <w:pPr>
        <w:widowControl/>
      </w:pPr>
      <w:r>
        <w:rPr>
          <w:rFonts w:ascii="Times New Roman" w:hAnsi="Times New Roman" w:eastAsia="Times New Roman" w:cs="Times New Roman"/>
          <w:color w:val="000000"/>
          <w:sz w:val="24"/>
        </w:rPr>
        <w:t>In DC, SPADE R5 minus qLogNEI R10 regret was -0.0005 (95% CI [-0.0221, +0.0207], p = 0.96, n = 160, five families x 32 seeds). Both used 48 wells. This is no detectable regret difference, not equivalence: the interval extends slightly beyond the registered ±0.02 effect boundary, and neither calendar duration nor cost was measured.</w:t>
      </w:r>
    </w:p>
    <w:p>
      <w:pPr>
        <w:keepNext/>
        <w:spacing w:before="120" w:after="60" w:line="240" w:lineRule="auto"/>
        <w:jc w:val="center"/>
      </w:pPr>
      <w:r>
        <w:drawing>
          <wp:inline xmlns:a="http://schemas.openxmlformats.org/drawingml/2006/main" xmlns:pic="http://schemas.openxmlformats.org/drawingml/2006/picture">
            <wp:extent cx="5897880" cy="28339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897880" cy="2833940"/>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3. Point-recipe trade-off (secondary to the region decision). (A) SPADE at five rounds minus qLogNEI at ten rounds on simple regret: no detectable difference (-0.0005, 95% CI [-0.0221, +0.0207], n = 160); not claimed as equivalence. (B) SPADE at five rounds minus screened DoE at three rounds: DoE finds the better single recipe (+0.1026, 95% CI [+0.0486, +0.1578]); expected when the goal is one point rather than a region.</w:t>
      </w:r>
    </w:p>
    <w:p>
      <w:pPr>
        <w:pStyle w:val="Heading2"/>
        <w:widowControl/>
      </w:pPr>
      <w:r>
        <w:rPr>
          <w:rFonts w:ascii="Times New Roman" w:hAnsi="Times New Roman" w:eastAsia="Times New Roman" w:cs="Times New Roman"/>
          <w:color w:val="000000"/>
          <w:sz w:val="24"/>
        </w:rPr>
        <w:t>DoE found a better point recipe but weaker regional containment</w:t>
      </w:r>
    </w:p>
    <w:p>
      <w:pPr>
        <w:widowControl/>
      </w:pPr>
      <w:r>
        <w:rPr>
          <w:rFonts w:ascii="Times New Roman" w:hAnsi="Times New Roman" w:eastAsia="Times New Roman" w:cs="Times New Roman"/>
          <w:color w:val="000000"/>
          <w:sz w:val="24"/>
        </w:rPr>
        <w:t>The adverse point result is essential: screened DoE found the better point recipe in three rounds. SPADE R5 minus screened-DoE R3 regret was +0.1026 (95% CI [+0.0486, +0.1578], p = 0.0003, n = 160). SPADE used five rounds.</w:t>
      </w:r>
    </w:p>
    <w:p>
      <w:pPr>
        <w:widowControl/>
      </w:pPr>
      <w:r>
        <w:rPr>
          <w:rFonts w:ascii="Times New Roman" w:hAnsi="Times New Roman" w:eastAsia="Times New Roman" w:cs="Times New Roman"/>
          <w:color w:val="000000"/>
          <w:sz w:val="24"/>
        </w:rPr>
        <w:t>Regional evidence moved in the opposite direction (Table 2). At prevalence 0.30, relative noise 0.25, assurance 0.95, 48 wells, and five families × 32 seeds, SPADE selected inflation c = 1 within the same comparison sample, answered 66/160 campaigns, and contained truth in 66/66 answered regions (conditional containment 1.0000; ordinary binomial lower bound 0.9556). Neither DoE arm passed at any tested inflation, so DoE counts are fallback diagnostics at baseline c = 1: screened DoE answered 122/160 with 85 contained (0.6967 among answers); unscreened DoE answered 134/160 with 77 contained (0.5746). SPADE’s inflation was selected on these cells while the DoE arms had no passing inflation to select, so the comparison is not calibration-matched; it reports what each pipeline returns under its own best available setting. Per eligible campaign, contained counts were 66/160 for SPADE versus 85/160 (screened DoE) and 77/160 (unscreened DoE). DoE therefore returns more correct regions on an unconditional count only because it answers more often, including incorrect certificates (37 wrong among screened answers; 57 wrong among unscreened answers). SPADE abstains more often (94/160). Under an asymmetric loss in which a false certified region is treated as a manufacturing failure and abstention is treated as a request for more data, the conditional 66/66 record is the primary regional score and the unconditional gap does not overturn it. These within-sample descriptive results do not condemn DoE as a class or establish transportable coverage.</w:t>
      </w:r>
    </w:p>
    <w:p>
      <w:pPr>
        <w:keepNext/>
        <w:keepLines/>
        <w:widowControl/>
      </w:pPr>
      <w:r>
        <w:rPr>
          <w:rFonts w:ascii="Times New Roman" w:hAnsi="Times New Roman" w:eastAsia="Times New Roman" w:cs="Times New Roman"/>
          <w:b/>
          <w:color w:val="000000"/>
          <w:sz w:val="24"/>
        </w:rPr>
        <w:t>Table 2. C2 regional answers and point trade-off.</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1170"/>
        <w:gridCol w:w="1170"/>
        <w:gridCol w:w="1170"/>
        <w:gridCol w:w="1170"/>
        <w:gridCol w:w="1170"/>
        <w:gridCol w:w="1170"/>
        <w:gridCol w:w="1170"/>
        <w:gridCol w:w="1170"/>
      </w:tblGrid>
      <w:tr>
        <w:trPr>
          <w:cantSplit/>
          <w:tblHeader w:val="true"/>
        </w:trPr>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Arm</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Scope</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Prevalence; noise; assurance</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Wells; rounds; seeds</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Inflation rule</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Answered</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Contained among answers</w:t>
            </w:r>
          </w:p>
        </w:tc>
        <w:tc>
          <w:tcPr>
            <w:tcW w:type="dxa" w:w="117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Contained among eligible</w:t>
            </w:r>
          </w:p>
        </w:tc>
      </w:tr>
      <w:tr>
        <w:trPr>
          <w:cantSplit/>
        </w:trPr>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SPADE</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Five families</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0.30; 0.25; 0.95</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 R5; 32/family</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Within-sample selected c=1</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66/160</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66/66</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66/160</w:t>
            </w:r>
          </w:p>
        </w:tc>
      </w:tr>
      <w:tr>
        <w:trPr>
          <w:cantSplit/>
        </w:trPr>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Screened DoE</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Five families</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0.30; 0.25; 0.95</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 R3; 32/family</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 passing c; baseline c=1 fallback</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122/160</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85/122</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85/160</w:t>
            </w:r>
          </w:p>
        </w:tc>
      </w:tr>
      <w:tr>
        <w:trPr>
          <w:cantSplit/>
        </w:trPr>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Unscreened DoE</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Five families</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0.30; 0.25; 0.95</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48; R2* (protocol label R3); 32/family</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No passing c; baseline c=1 fallback</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134/160</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77/134</w:t>
            </w:r>
          </w:p>
        </w:tc>
        <w:tc>
          <w:tcPr>
            <w:tcW w:type="dxa" w:w="117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77/160</w:t>
            </w:r>
          </w:p>
        </w:tc>
      </w:tr>
    </w:tbl>
    <w:p>
      <w:pPr>
        <w:spacing w:after="40"/>
      </w:pPr>
    </w:p>
    <w:p>
      <w:pPr>
        <w:widowControl/>
      </w:pPr>
      <w:r>
        <w:rPr>
          <w:rFonts w:ascii="Times New Roman" w:hAnsi="Times New Roman" w:eastAsia="Times New Roman" w:cs="Times New Roman"/>
          <w:color w:val="000000"/>
          <w:sz w:val="24"/>
        </w:rPr>
        <w:t>\*Unscreened DoE executes a design stage plus one confirmation well (two measurement stages) but retains the protocol’s “R3” comparator label.</w:t>
      </w:r>
    </w:p>
    <w:p>
      <w:pPr>
        <w:keepNext/>
        <w:spacing w:before="120" w:after="60" w:line="240" w:lineRule="auto"/>
        <w:jc w:val="center"/>
      </w:pPr>
      <w:r>
        <w:drawing>
          <wp:inline xmlns:a="http://schemas.openxmlformats.org/drawingml/2006/main" xmlns:pic="http://schemas.openxmlformats.org/drawingml/2006/picture">
            <wp:extent cx="5897880" cy="2373376"/>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897880" cy="2373376"/>
                    </a:xfrm>
                    <a:prstGeom prst="rect"/>
                  </pic:spPr>
                </pic:pic>
              </a:graphicData>
            </a:graphic>
          </wp:inline>
        </w:drawing>
      </w:r>
    </w:p>
    <w:p>
      <w:pPr>
        <w:keepLines/>
        <w:spacing w:before="0" w:after="120" w:line="240" w:lineRule="auto"/>
      </w:pPr>
      <w:r>
        <w:rPr>
          <w:rFonts w:ascii="Times New Roman" w:hAnsi="Times New Roman" w:eastAsia="Times New Roman" w:cs="Times New Roman"/>
          <w:b/>
          <w:color w:val="000000"/>
          <w:sz w:val="20"/>
        </w:rPr>
        <w:t>Fig 4. Additional locked SPADE evidence (C4 and C6).</w:t>
      </w:r>
      <w:r>
        <w:rPr>
          <w:rFonts w:ascii="Times New Roman" w:hAnsi="Times New Roman" w:eastAsia="Times New Roman" w:cs="Times New Roman"/>
          <w:color w:val="000000"/>
          <w:sz w:val="20"/>
        </w:rPr>
        <w:t xml:space="preserve"> (A) Point-regret advantage of three-round SPADE over one-shot Latin hypercube sampling (LHS minus SPADE = +0.0783; n = 80; locked C4 mean). Higher values favor SPADE. (B) On the biology-shaped Hill family at prevalence 0.70, SPADE answered 40/64 regions versus 27/64 for qLogNEI; both arms contained truth in every answered cell (descriptive counts; C6).</w:t>
      </w:r>
    </w:p>
    <w:p>
      <w:pPr>
        <w:pStyle w:val="Heading2"/>
        <w:widowControl/>
      </w:pPr>
      <w:r>
        <w:rPr>
          <w:rFonts w:ascii="Times New Roman" w:hAnsi="Times New Roman" w:eastAsia="Times New Roman" w:cs="Times New Roman"/>
          <w:color w:val="000000"/>
          <w:sz w:val="24"/>
        </w:rPr>
        <w:t>Certifiability depended on family, prevalence, and margin-to-noise</w:t>
      </w:r>
    </w:p>
    <w:p>
      <w:pPr>
        <w:widowControl/>
      </w:pPr>
      <w:r>
        <w:rPr>
          <w:rFonts w:ascii="Times New Roman" w:hAnsi="Times New Roman" w:eastAsia="Times New Roman" w:cs="Times New Roman"/>
          <w:color w:val="000000"/>
          <w:sz w:val="24"/>
        </w:rPr>
        <w:t>Across five families and prevalences 0.70, 0.50, 0.30, 0.20, and 0.10, SPADE answer rate at c=1, alpha=0.95, 48 wells, R5, relative noise 0.25, and 64 seeds per family was descriptively associated with mean seed-specific true margin-to-noise (Spearman rho = 0.988; 25 nested family-prevalence cells). The diagnostic uses latent truth and is explanatory, not available prospectively. Shared families and ordered prevalences make the cells dependent and nonexchangeable.</w:t>
      </w:r>
    </w:p>
    <w:p>
      <w:pPr>
        <w:widowControl/>
      </w:pPr>
      <w:r>
        <w:rPr>
          <w:rFonts w:ascii="Times New Roman" w:hAnsi="Times New Roman" w:eastAsia="Times New Roman" w:cs="Times New Roman"/>
          <w:color w:val="000000"/>
          <w:sz w:val="24"/>
        </w:rPr>
        <w:t>For the biology-shaped but synthetic Hill family at prevalence 0.70, under those same settings, SPADE answered 40/64 and contained truth in 40/40 (ordinary-binomial lower bound 0.9278). qLogNEI answered 27/64 and contained 27/27; its limitation was the answer count required by the registered gate, not failure to return contained regions.</w:t>
      </w:r>
    </w:p>
    <w:p>
      <w:pPr>
        <w:pStyle w:val="Heading2"/>
        <w:widowControl/>
      </w:pPr>
      <w:r>
        <w:rPr>
          <w:rFonts w:ascii="Times New Roman" w:hAnsi="Times New Roman" w:eastAsia="Times New Roman" w:cs="Times New Roman"/>
          <w:color w:val="000000"/>
          <w:sz w:val="24"/>
        </w:rPr>
        <w:t>Supporting real-data diagnostics (summarized; full rows in Supporting Information)</w:t>
      </w:r>
    </w:p>
    <w:p>
      <w:pPr>
        <w:widowControl/>
      </w:pPr>
      <w:r>
        <w:rPr>
          <w:rFonts w:ascii="Times New Roman" w:hAnsi="Times New Roman" w:eastAsia="Times New Roman" w:cs="Times New Roman"/>
          <w:color w:val="000000"/>
          <w:sz w:val="24"/>
        </w:rPr>
        <w:t>Treating the fitted GP mean as fixed had little effect in synthetic diagnostics: mean-marginalised posterior width increased by 1.004x–1.011x. The same correction increased mean posterior marginal SD approximately 484x for the in-house candidate dataset and 297x for published Hall–Ogle data. Observation-prediction LOO inflation was assay-specific (c=0.712 in-house and c=0.526 published). These S2/S3 values are retrospective, stdout-reproduced support without structured numerical guards. LOO prediction does not identify latent-function uncertainty, and the in-house CD31 gates remain awaiting human confirmation.</w:t>
      </w:r>
    </w:p>
    <w:p>
      <w:pPr>
        <w:pStyle w:val="Heading2"/>
        <w:widowControl/>
      </w:pPr>
      <w:r>
        <w:rPr>
          <w:rFonts w:ascii="Times New Roman" w:hAnsi="Times New Roman" w:eastAsia="Times New Roman" w:cs="Times New Roman"/>
          <w:color w:val="000000"/>
          <w:sz w:val="24"/>
        </w:rPr>
        <w:t>Failed targeting, the real-noise ceiling, and the unopened lockbox</w:t>
      </w:r>
    </w:p>
    <w:p>
      <w:pPr>
        <w:widowControl/>
      </w:pPr>
      <w:r>
        <w:rPr>
          <w:rFonts w:ascii="Times New Roman" w:hAnsi="Times New Roman" w:eastAsia="Times New Roman" w:cs="Times New Roman"/>
          <w:color w:val="000000"/>
          <w:sz w:val="24"/>
        </w:rPr>
        <w:t>The target-aligned acquisition did not earn adoption. Relative to committed SPADE, its certified-volume change was +0.000425 (95% CI [-0.000022, +0.000875]) and its regret was worse by +0.0301 (95% CI [+0.0169, +0.0450], p &lt; 0.000125). Family effects cancelled. This failure is why SPADE's value is described architecturally rather than as a successful targeting mechanism.</w:t>
      </w:r>
    </w:p>
    <w:p>
      <w:pPr>
        <w:widowControl/>
      </w:pPr>
      <w:r>
        <w:rPr>
          <w:rFonts w:ascii="Times New Roman" w:hAnsi="Times New Roman" w:eastAsia="Times New Roman" w:cs="Times New Roman"/>
          <w:color w:val="000000"/>
          <w:sz w:val="24"/>
        </w:rPr>
        <w:t>At measured real-assay relative noise 0.68, no tested arm certified. Replication and independent noise identification are therefore prerequisites for prospective use at that noise level.</w:t>
      </w:r>
    </w:p>
    <w:p>
      <w:pPr>
        <w:widowControl/>
      </w:pPr>
      <w:r>
        <w:rPr>
          <w:rFonts w:ascii="Times New Roman" w:hAnsi="Times New Roman" w:eastAsia="Times New Roman" w:cs="Times New Roman"/>
          <w:color w:val="000000"/>
          <w:sz w:val="24"/>
        </w:rPr>
        <w:t>A later future-response development grid evaluated nine candidate protocols on five families. Table 3 reports its preserved ranges; every candidate missed the registered containment floor on at least one family. The selector returned a development outcome that selected no protocol, no post-hoc power calculation was authorized, and the held-out confirmation store remained a frozen, unopened confirmation store. No lockbox evidence was opened.</w:t>
      </w:r>
    </w:p>
    <w:p>
      <w:pPr>
        <w:keepNext/>
        <w:keepLines/>
        <w:widowControl/>
      </w:pPr>
      <w:r>
        <w:rPr>
          <w:rFonts w:ascii="Times New Roman" w:hAnsi="Times New Roman" w:eastAsia="Times New Roman" w:cs="Times New Roman"/>
          <w:b/>
          <w:color w:val="000000"/>
          <w:sz w:val="24"/>
        </w:rPr>
        <w:t>Table 3. Joint-protocol development ranges across nine candidates.</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Family</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Answer count range</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Empirical containment range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Hill</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49–50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0.140–0.490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Ackley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0.320–0.820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Hartmann6</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0.440–0.940</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47–49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0.213–0.333</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Rosenbrock</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47–50</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0.061–0.320</w:t>
            </w:r>
          </w:p>
        </w:tc>
      </w:tr>
    </w:tbl>
    <w:p>
      <w:pPr>
        <w:spacing w:after="40"/>
      </w:pPr>
    </w:p>
    <w:p>
      <w:pPr>
        <w:pStyle w:val="Heading1"/>
        <w:widowControl/>
      </w:pPr>
      <w:r>
        <w:rPr>
          <w:rFonts w:ascii="Times New Roman" w:hAnsi="Times New Roman" w:eastAsia="Times New Roman" w:cs="Times New Roman"/>
          <w:color w:val="000000"/>
          <w:sz w:val="24"/>
        </w:rPr>
        <w:t>Discussion</w:t>
      </w:r>
    </w:p>
    <w:p>
      <w:pPr>
        <w:widowControl/>
      </w:pPr>
      <w:r>
        <w:rPr>
          <w:rFonts w:ascii="Times New Roman" w:hAnsi="Times New Roman" w:eastAsia="Times New Roman" w:cs="Times New Roman"/>
          <w:color w:val="000000"/>
          <w:sz w:val="24"/>
        </w:rPr>
        <w:t>The primary conclusion is decision-specific. At five matched rounds, SPADE produced greater certified volume than qLogNEI under registered LOFO calibration. In the DC comparison its answered regions also had stronger observed truth containment than the tested DoE pipelines. Those findings support SPADE when the requested deliverable is a conservative operating region and abstention is acceptable.</w:t>
      </w:r>
    </w:p>
    <w:p>
      <w:pPr>
        <w:widowControl/>
      </w:pPr>
      <w:r>
        <w:rPr>
          <w:rFonts w:ascii="Times New Roman" w:hAnsi="Times New Roman" w:eastAsia="Times New Roman" w:cs="Times New Roman"/>
          <w:color w:val="000000"/>
          <w:sz w:val="24"/>
        </w:rPr>
        <w:t>They do not support a universal ranking. The qLogNEI point comparison showed no detectable difference and did not establish equivalence. Screened DoE found a substantially better point recipe in fewer rounds. A laboratory requiring one recipe may rationally prefer a point optimizer; a laboratory requiring a region faces a different loss function.</w:t>
      </w:r>
    </w:p>
    <w:p>
      <w:pPr>
        <w:widowControl/>
      </w:pPr>
      <w:r>
        <w:rPr>
          <w:rFonts w:ascii="Times New Roman" w:hAnsi="Times New Roman" w:eastAsia="Times New Roman" w:cs="Times New Roman"/>
          <w:color w:val="000000"/>
          <w:sz w:val="24"/>
        </w:rPr>
        <w:t>The contribution is integration and evidence, not theoretical priority. GP level-set learning, Vorob'ev summaries, simultaneous posterior inclusion, and conservative excursion sets are established. SPADE adapts them to a fixed-well assay architecture, uses common regional post-processing across comparator observations, and permits an empty answer. The failed target-alignment experiment prevents attributing the observed regional result to successful threshold targeting.</w:t>
      </w:r>
    </w:p>
    <w:p>
      <w:pPr>
        <w:pStyle w:val="Heading2"/>
        <w:widowControl/>
      </w:pPr>
      <w:r>
        <w:rPr>
          <w:rFonts w:ascii="Times New Roman" w:hAnsi="Times New Roman" w:eastAsia="Times New Roman" w:cs="Times New Roman"/>
          <w:color w:val="000000"/>
          <w:sz w:val="24"/>
        </w:rPr>
        <w:t>Scope and limitations</w:t>
      </w:r>
    </w:p>
    <w:p>
      <w:pPr>
        <w:widowControl/>
      </w:pPr>
      <w:r>
        <w:rPr>
          <w:rFonts w:ascii="Times New Roman" w:hAnsi="Times New Roman" w:eastAsia="Times New Roman" w:cs="Times New Roman"/>
          <w:color w:val="000000"/>
          <w:sz w:val="24"/>
        </w:rPr>
        <w:t>All comparative landscapes were synthetic, the domain was evaluated on finite grids, and headline noise was 0.25. Families, seeds, target prevalences, kernels, acquisition implementations, and one 48-well budget bound the result. The tested DoE is one low-order response-surface pipeline and qLogNEI is one BO acquisition.</w:t>
      </w:r>
    </w:p>
    <w:p>
      <w:pPr>
        <w:widowControl/>
      </w:pPr>
      <w:r>
        <w:rPr>
          <w:rFonts w:ascii="Times New Roman" w:hAnsi="Times New Roman" w:eastAsia="Times New Roman" w:cs="Times New Roman"/>
          <w:color w:val="000000"/>
          <w:sz w:val="24"/>
        </w:rPr>
        <w:t>Inference is conditional on the frozen benchmark. The flat-cell bootstrap may be too narrow because repeated family-seed-prevalence cells are dependent. Pooled binomial bounds do not become cluster-aware merely because they are exact under an ordinary Bernoulli model. C2 calibration is within-sample; only C3 holds a family out during inflation selection. Neither procedure supplies distribution-free or regulatory coverage.</w:t>
      </w:r>
    </w:p>
    <w:p>
      <w:pPr>
        <w:widowControl/>
      </w:pPr>
      <w:r>
        <w:rPr>
          <w:rFonts w:ascii="Times New Roman" w:hAnsi="Times New Roman" w:eastAsia="Times New Roman" w:cs="Times New Roman"/>
          <w:color w:val="000000"/>
          <w:sz w:val="24"/>
        </w:rPr>
        <w:t>The real-data analyses are retrospective diagnostics. They do not establish recipe equivalence, manufacturing qualification, regulatory validation, or prospective wet-lab performance. The relative-noise ceiling, unsigned in-house gates, missing replicate-tube noise identification, joint-protocol a development outcome that selected no protocol, and unopened lockbox preclude such claims.</w:t>
      </w:r>
    </w:p>
    <w:p>
      <w:pPr>
        <w:pStyle w:val="Heading2"/>
        <w:widowControl/>
      </w:pPr>
      <w:r>
        <w:rPr>
          <w:rFonts w:ascii="Times New Roman" w:hAnsi="Times New Roman" w:eastAsia="Times New Roman" w:cs="Times New Roman"/>
          <w:color w:val="000000"/>
          <w:sz w:val="24"/>
        </w:rPr>
        <w:t>Relationship to published and retained evidence</w:t>
      </w:r>
    </w:p>
    <w:p>
      <w:pPr>
        <w:widowControl/>
      </w:pPr>
      <w:r>
        <w:rPr>
          <w:rFonts w:ascii="Times New Roman" w:hAnsi="Times New Roman" w:eastAsia="Times New Roman" w:cs="Times New Roman"/>
          <w:color w:val="000000"/>
          <w:sz w:val="24"/>
        </w:rPr>
        <w:t>Table 4 situates the contribution. Physical and biological optimization studies provide wet-lab relevance but usually answer different budget and decision questions. Methodological papers supply the level-set and conservative-set foundations. The present simulation offers known truth but no biological validation.</w:t>
      </w:r>
    </w:p>
    <w:p>
      <w:pPr>
        <w:keepNext/>
        <w:keepLines/>
        <w:widowControl/>
      </w:pPr>
      <w:r>
        <w:rPr>
          <w:rFonts w:ascii="Times New Roman" w:hAnsi="Times New Roman" w:eastAsia="Times New Roman" w:cs="Times New Roman"/>
          <w:b/>
          <w:color w:val="000000"/>
          <w:sz w:val="24"/>
        </w:rPr>
        <w:t>Table 4. Selected precedents and scope.</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Evidence</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Decision or method</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Relationship to this study</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Hall, Lin, and Ogle [7]</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Experimental-design study of extracellular matrix</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Published assay-shape support; not a SPADE campaign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Rummukainen et al. [8]</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Physical DoE and adaptive optimization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Wet-process evidence with a different budget</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Lapierre et al. [9]</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Multicycle BO and two-step DoE</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Biological growth outcome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Gotovos et al. [13]</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Level-set classification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Established level-set precedent</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Azzimonti et al. [14]</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Conservative excursion sets</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Close estimator antecedent</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Bogunovic et al. [15]</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TruVaR</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Optimization/level-set connection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Present study</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Point and conservative-region decisions</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Fixed-well synthetic comparison with abstention</w:t>
            </w:r>
          </w:p>
        </w:tc>
      </w:tr>
    </w:tbl>
    <w:p>
      <w:pPr>
        <w:spacing w:after="40"/>
      </w:pPr>
    </w:p>
    <w:p>
      <w:pPr>
        <w:keepNext/>
        <w:keepLines/>
        <w:widowControl/>
      </w:pPr>
      <w:r>
        <w:rPr>
          <w:rFonts w:ascii="Times New Roman" w:hAnsi="Times New Roman" w:eastAsia="Times New Roman" w:cs="Times New Roman"/>
          <w:b/>
          <w:color w:val="000000"/>
          <w:sz w:val="24"/>
        </w:rPr>
        <w:t>Table 5. Contribution and novelty boundary.</w:t>
      </w:r>
    </w:p>
    <w:tbl>
      <w:tblPr>
        <w:tblStyle w:val="TableGrid"/>
        <w:tblW w:type="dxa" w:w="936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Ind w:w="120" w:type="dxa"/>
      </w:tblPr>
      <w:tblGrid>
        <w:gridCol w:w="2200"/>
        <w:gridCol w:w="3580"/>
        <w:gridCol w:w="3580"/>
      </w:tblGrid>
      <w:tr>
        <w:trPr>
          <w:cantSplit/>
          <w:tblHeader w:val="true"/>
        </w:trPr>
        <w:tc>
          <w:tcPr>
            <w:tcW w:type="dxa" w:w="220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Element</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Classification</w:t>
            </w:r>
          </w:p>
        </w:tc>
        <w:tc>
          <w:tcPr>
            <w:tcW w:type="dxa" w:w="3580"/>
            <w:shd w:fill="E7E6E6"/>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b/>
                <w:color w:val="000000"/>
                <w:sz w:val="17"/>
              </w:rPr>
              <w:t>Present contribution</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GP excursion sets, boundary learning, Vorob'ev candidates</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Established</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Integrated, not claimed as new theory</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qLogNEI and response-surface DoE</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Established comparator ingredients</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Implemented as specific fixed-budget pipelines</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Per-well variances, round schedules, empty answer</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Assay-oriented adaptation</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Operational SPADE architecture</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Common conservative-region estimator</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Comparative-design choice</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Separates observations from regional post-processing</w:t>
            </w:r>
          </w:p>
        </w:tc>
      </w:tr>
      <w:tr>
        <w:trPr>
          <w:cantSplit/>
        </w:trPr>
        <w:tc>
          <w:tcPr>
            <w:tcW w:type="dxa" w:w="220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Regret, volume, answers, and truth containment</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Empirical evidence</w:t>
            </w:r>
          </w:p>
        </w:tc>
        <w:tc>
          <w:tcPr>
            <w:tcW w:type="dxa" w:w="3580"/>
            <w:vAlign w:val="center"/>
            <w:tcMar>
              <w:top w:w="80" w:type="dxa"/>
              <w:bottom w:w="80" w:type="dxa"/>
              <w:start w:w="120" w:type="dxa"/>
              <w:end w:w="120" w:type="dxa"/>
            </w:tcMar>
          </w:tcPr>
          <w:p>
            <w:pPr>
              <w:spacing w:before="0" w:after="0" w:line="240" w:lineRule="auto"/>
            </w:pPr>
            <w:r>
              <w:rPr>
                <w:rFonts w:ascii="Times New Roman" w:hAnsi="Times New Roman" w:eastAsia="Times New Roman" w:cs="Times New Roman"/>
                <w:color w:val="000000"/>
                <w:sz w:val="17"/>
              </w:rPr>
              <w:t>Bounded to named synthetic settings</w:t>
            </w:r>
          </w:p>
        </w:tc>
      </w:tr>
    </w:tbl>
    <w:p>
      <w:pPr>
        <w:spacing w:after="40"/>
      </w:pPr>
    </w:p>
    <w:p>
      <w:pPr>
        <w:pStyle w:val="Heading1"/>
        <w:widowControl/>
      </w:pPr>
      <w:r>
        <w:rPr>
          <w:rFonts w:ascii="Times New Roman" w:hAnsi="Times New Roman" w:eastAsia="Times New Roman" w:cs="Times New Roman"/>
          <w:color w:val="000000"/>
          <w:sz w:val="24"/>
        </w:rPr>
        <w:t>Conclusions</w:t>
      </w:r>
    </w:p>
    <w:p>
      <w:pPr>
        <w:widowControl/>
      </w:pPr>
      <w:r>
        <w:rPr>
          <w:rFonts w:ascii="Times New Roman" w:hAnsi="Times New Roman" w:eastAsia="Times New Roman" w:cs="Times New Roman"/>
          <w:color w:val="000000"/>
          <w:sz w:val="24"/>
        </w:rPr>
        <w:t>SPADE performed better for the tested operating-region decision: at matched five rounds it returned greater certified volume than qLogNEI, and its answered DC regions had stronger observed containment than the tested DoE pipelines. That regional conclusion coexists with no detectable point-regret difference from longer qLogNEI, an interval that did not establish equivalence, and a clear adverse result in which three-round DoE found a better point recipe than five-round SPADE.</w:t>
      </w:r>
    </w:p>
    <w:p>
      <w:pPr>
        <w:widowControl/>
      </w:pPr>
      <w:r>
        <w:rPr>
          <w:rFonts w:ascii="Times New Roman" w:hAnsi="Times New Roman" w:eastAsia="Times New Roman" w:cs="Times New Roman"/>
          <w:color w:val="000000"/>
          <w:sz w:val="24"/>
        </w:rPr>
        <w:t>Choose SPADE when a moderate-noise, fixed-well campaign must return a conservative operating region and may abstain; choose a point optimizer when only one recipe is required. SPADE’s regional advantage is conditional honesty among answered campaigns, not a higher unconditional hit rate than DoE. These computational results do not establish recipe equivalence, manufacturing qualification, regulatory validation, or prospective wet-lab performance.</w:t>
      </w:r>
    </w:p>
    <w:p>
      <w:pPr>
        <w:pStyle w:val="Heading1"/>
        <w:widowControl/>
      </w:pPr>
      <w:r>
        <w:rPr>
          <w:rFonts w:ascii="Times New Roman" w:hAnsi="Times New Roman" w:eastAsia="Times New Roman" w:cs="Times New Roman"/>
          <w:color w:val="000000"/>
          <w:sz w:val="24"/>
        </w:rPr>
        <w:t>Data availability statement</w:t>
      </w:r>
    </w:p>
    <w:p>
      <w:pPr>
        <w:widowControl/>
      </w:pPr>
      <w:r>
        <w:rPr>
          <w:rFonts w:ascii="Times New Roman" w:hAnsi="Times New Roman" w:eastAsia="Times New Roman" w:cs="Times New Roman"/>
          <w:color w:val="000000"/>
          <w:sz w:val="24"/>
        </w:rPr>
        <w:t>Primary result files, analysis scripts, protocols, and supporting tables are available in the project repository at https://github.com/akwnn/nutrigene-ai-bo-ipsec (commit ec14bc7 anchors the audited publication package; the submission branch carries the PLOS manuscript rebuilds). Original software is released under the MIT License; original research materials are released under CC BY 4.0 (see LICENSE and LICENSE-CONTENT.md). Audited claim sources are indexed in publication/manuscript/CLAIMS-AND-SOURCES.md. A DOI-bearing Zenodo (or equivalent) archival snapshot of the submission package will be minted at or before journal submission and will replace this placeholder (see manuscript/ZENODO-DEPOSIT.md). Until that DOI is issued, the GitHub repository is the working source of the materials described here.</w:t>
      </w:r>
    </w:p>
    <w:p>
      <w:pPr>
        <w:pStyle w:val="Heading1"/>
        <w:widowControl/>
      </w:pPr>
      <w:r>
        <w:rPr>
          <w:rFonts w:ascii="Times New Roman" w:hAnsi="Times New Roman" w:eastAsia="Times New Roman" w:cs="Times New Roman"/>
          <w:color w:val="000000"/>
          <w:sz w:val="24"/>
        </w:rPr>
        <w:t>Author contributions</w:t>
      </w:r>
    </w:p>
    <w:p>
      <w:pPr>
        <w:widowControl/>
      </w:pPr>
      <w:r>
        <w:rPr>
          <w:rFonts w:ascii="Times New Roman" w:hAnsi="Times New Roman" w:eastAsia="Times New Roman" w:cs="Times New Roman"/>
          <w:b/>
          <w:color w:val="000000"/>
          <w:sz w:val="24"/>
        </w:rPr>
        <w:t>Alana Wai Han Kwan:</w:t>
      </w:r>
      <w:r>
        <w:rPr>
          <w:rFonts w:ascii="Times New Roman" w:hAnsi="Times New Roman" w:eastAsia="Times New Roman" w:cs="Times New Roman"/>
          <w:color w:val="000000"/>
          <w:sz w:val="24"/>
        </w:rPr>
        <w:t xml:space="preserve"> Conceptualization; Formal analysis; Investigation; Methodology; Project administration; Validation; Visualization; Writing – original draft; Writing – review &amp; editing.</w:t>
      </w:r>
    </w:p>
    <w:p>
      <w:pPr>
        <w:widowControl/>
      </w:pPr>
      <w:r>
        <w:rPr>
          <w:rFonts w:ascii="Times New Roman" w:hAnsi="Times New Roman" w:eastAsia="Times New Roman" w:cs="Times New Roman"/>
          <w:b/>
          <w:color w:val="000000"/>
          <w:sz w:val="24"/>
        </w:rPr>
        <w:t>Joseph Yung:</w:t>
      </w:r>
      <w:r>
        <w:rPr>
          <w:rFonts w:ascii="Times New Roman" w:hAnsi="Times New Roman" w:eastAsia="Times New Roman" w:cs="Times New Roman"/>
          <w:color w:val="000000"/>
          <w:sz w:val="24"/>
        </w:rPr>
        <w:t xml:space="preserve"> Conceptualization; Data curation; Formal analysis; Investigation; Methodology; Software; Validation; Writing – review &amp; editing.</w:t>
      </w:r>
    </w:p>
    <w:p>
      <w:pPr>
        <w:widowControl/>
      </w:pPr>
      <w:r>
        <w:rPr>
          <w:rFonts w:ascii="Times New Roman" w:hAnsi="Times New Roman" w:eastAsia="Times New Roman" w:cs="Times New Roman"/>
          <w:color w:val="000000"/>
          <w:sz w:val="24"/>
        </w:rPr>
        <w:t>Roles follow the CRediT taxonomy.</w:t>
      </w:r>
    </w:p>
    <w:p>
      <w:pPr>
        <w:pStyle w:val="Heading1"/>
        <w:widowControl/>
      </w:pPr>
      <w:r>
        <w:rPr>
          <w:rFonts w:ascii="Times New Roman" w:hAnsi="Times New Roman" w:eastAsia="Times New Roman" w:cs="Times New Roman"/>
          <w:color w:val="000000"/>
          <w:sz w:val="24"/>
        </w:rPr>
        <w:t>Acknowledgments</w:t>
      </w:r>
    </w:p>
    <w:p>
      <w:pPr>
        <w:widowControl/>
      </w:pPr>
      <w:r>
        <w:rPr>
          <w:rFonts w:ascii="Times New Roman" w:hAnsi="Times New Roman" w:eastAsia="Times New Roman" w:cs="Times New Roman"/>
          <w:color w:val="000000"/>
          <w:sz w:val="24"/>
        </w:rPr>
        <w:t>We thank the Obermeyer Research Group at Columbia University for research context on multicomponent formulation design. Computational experiments used synthetic landscapes; no wet-lab samples were generated for this study.</w:t>
      </w:r>
    </w:p>
    <w:p>
      <w:r>
        <w:br w:type="page"/>
      </w:r>
    </w:p>
    <w:p>
      <w:pPr>
        <w:pStyle w:val="Heading1"/>
        <w:widowControl/>
      </w:pPr>
      <w:r>
        <w:rPr>
          <w:rFonts w:ascii="Times New Roman" w:hAnsi="Times New Roman" w:eastAsia="Times New Roman" w:cs="Times New Roman"/>
          <w:color w:val="000000"/>
          <w:sz w:val="24"/>
        </w:rPr>
        <w:t>References</w:t>
      </w:r>
    </w:p>
    <w:p>
      <w:pPr>
        <w:spacing w:line="240" w:lineRule="auto" w:after="80"/>
        <w:ind w:left="360" w:hanging="360"/>
      </w:pPr>
      <w:r>
        <w:rPr>
          <w:rFonts w:ascii="Times New Roman" w:hAnsi="Times New Roman" w:eastAsia="Times New Roman" w:cs="Times New Roman"/>
          <w:color w:val="000000"/>
          <w:sz w:val="20"/>
        </w:rPr>
        <w:t>1. Box GEP, Wilson KB. On the experimental attainment of optimum conditions. J R Stat Soc Series B Stat Methodol. 1951;13:1–38. doi:10.1111/j.2517-6161.1951.tb00067.x</w:t>
      </w:r>
    </w:p>
    <w:p>
      <w:pPr>
        <w:spacing w:line="240" w:lineRule="auto" w:after="80"/>
        <w:ind w:left="360" w:hanging="360"/>
      </w:pPr>
      <w:r>
        <w:rPr>
          <w:rFonts w:ascii="Times New Roman" w:hAnsi="Times New Roman" w:eastAsia="Times New Roman" w:cs="Times New Roman"/>
          <w:color w:val="000000"/>
          <w:sz w:val="20"/>
        </w:rPr>
        <w:t>2. Box GEP, Draper NR. Empirical model-building and response surfaces. New York: Wiley; 1987.</w:t>
      </w:r>
    </w:p>
    <w:p>
      <w:pPr>
        <w:spacing w:line="240" w:lineRule="auto" w:after="80"/>
        <w:ind w:left="360" w:hanging="360"/>
      </w:pPr>
      <w:r>
        <w:rPr>
          <w:rFonts w:ascii="Times New Roman" w:hAnsi="Times New Roman" w:eastAsia="Times New Roman" w:cs="Times New Roman"/>
          <w:color w:val="000000"/>
          <w:sz w:val="20"/>
        </w:rPr>
        <w:t>3. Myers RH, Montgomery DC, Anderson-Cook CM. Response surface methodology: Process and product optimization using designed experiments. 4th ed. Hoboken: Wiley; 2016.</w:t>
      </w:r>
    </w:p>
    <w:p>
      <w:pPr>
        <w:spacing w:line="240" w:lineRule="auto" w:after="80"/>
        <w:ind w:left="360" w:hanging="360"/>
      </w:pPr>
      <w:r>
        <w:rPr>
          <w:rFonts w:ascii="Times New Roman" w:hAnsi="Times New Roman" w:eastAsia="Times New Roman" w:cs="Times New Roman"/>
          <w:color w:val="000000"/>
          <w:sz w:val="20"/>
        </w:rPr>
        <w:t>4. Močkus J. On Bayesian methods for seeking the extremum. In: Marchuk GI, editor. Optimization techniques IFIP Technical Conference. Berlin: Springer; 1975. p. 400–404. doi:10.1007/3-540-07165-2_55</w:t>
      </w:r>
    </w:p>
    <w:p>
      <w:pPr>
        <w:spacing w:line="240" w:lineRule="auto" w:after="80"/>
        <w:ind w:left="360" w:hanging="360"/>
      </w:pPr>
      <w:r>
        <w:rPr>
          <w:rFonts w:ascii="Times New Roman" w:hAnsi="Times New Roman" w:eastAsia="Times New Roman" w:cs="Times New Roman"/>
          <w:color w:val="000000"/>
          <w:sz w:val="20"/>
        </w:rPr>
        <w:t>5. Jones DR, Schonlau M, Welch WJ. Efficient global optimization of expensive black-box functions. J Glob Optim. 1998;13:455–492. doi:10.1023/A:1008306431147</w:t>
      </w:r>
    </w:p>
    <w:p>
      <w:pPr>
        <w:spacing w:line="240" w:lineRule="auto" w:after="80"/>
        <w:ind w:left="360" w:hanging="360"/>
      </w:pPr>
      <w:r>
        <w:rPr>
          <w:rFonts w:ascii="Times New Roman" w:hAnsi="Times New Roman" w:eastAsia="Times New Roman" w:cs="Times New Roman"/>
          <w:color w:val="000000"/>
          <w:sz w:val="20"/>
        </w:rPr>
        <w:t>6. Frazier PI. A tutorial on Bayesian optimization. arXiv:1807.02811 [Preprint]. 2018 [cited 2026 Aug 26]. Available from: https://arxiv.org/abs/1807.02811</w:t>
      </w:r>
    </w:p>
    <w:p>
      <w:pPr>
        <w:spacing w:line="240" w:lineRule="auto" w:after="80"/>
        <w:ind w:left="360" w:hanging="360"/>
      </w:pPr>
      <w:r>
        <w:rPr>
          <w:rFonts w:ascii="Times New Roman" w:hAnsi="Times New Roman" w:eastAsia="Times New Roman" w:cs="Times New Roman"/>
          <w:color w:val="000000"/>
          <w:sz w:val="20"/>
        </w:rPr>
        <w:t>7. Hall ML, Lin W-H, Ogle BM. Optimizing extracellular matrix for endothelial differentiation using a design of experiments approach. Sci Rep. 2025;15:24479. doi:10.1038/s41598-025-09256-9</w:t>
      </w:r>
    </w:p>
    <w:p>
      <w:pPr>
        <w:spacing w:line="240" w:lineRule="auto" w:after="80"/>
        <w:ind w:left="360" w:hanging="360"/>
      </w:pPr>
      <w:r>
        <w:rPr>
          <w:rFonts w:ascii="Times New Roman" w:hAnsi="Times New Roman" w:eastAsia="Times New Roman" w:cs="Times New Roman"/>
          <w:color w:val="000000"/>
          <w:sz w:val="20"/>
        </w:rPr>
        <w:t>8. Rummukainen H, Hörhammer H, Kuusela P, Kilpi J, Sirviö J, Mäkelä M. Traditional or adaptive design of experiments? A pilot-scale comparison on wood delignification. Heliyon. 2024;10:e24484. doi:10.1016/j.heliyon.2024.e24484</w:t>
      </w:r>
    </w:p>
    <w:p>
      <w:pPr>
        <w:spacing w:line="240" w:lineRule="auto" w:after="80"/>
        <w:ind w:left="360" w:hanging="360"/>
      </w:pPr>
      <w:r>
        <w:rPr>
          <w:rFonts w:ascii="Times New Roman" w:hAnsi="Times New Roman" w:eastAsia="Times New Roman" w:cs="Times New Roman"/>
          <w:color w:val="000000"/>
          <w:sz w:val="20"/>
        </w:rPr>
        <w:t>9. Lapierre F, Mattaliano P, Raith D, Castillo-Cota M, Bermeitinger J, Huber R. Multi-cycle high-throughput growth media optimization using batch Bayesian optimization. J Chem Technol Biotechnol. 2025;100:1571–1583. doi:10.1002/jctb.7860</w:t>
      </w:r>
    </w:p>
    <w:p>
      <w:pPr>
        <w:spacing w:line="240" w:lineRule="auto" w:after="80"/>
        <w:ind w:left="360" w:hanging="360"/>
      </w:pPr>
      <w:r>
        <w:rPr>
          <w:rFonts w:ascii="Times New Roman" w:hAnsi="Times New Roman" w:eastAsia="Times New Roman" w:cs="Times New Roman"/>
          <w:color w:val="000000"/>
          <w:sz w:val="20"/>
        </w:rPr>
        <w:t>10. Ndahiro N, Ma E, Bertalan T, Donohue M, Kevrekidis Y, Betenbaugh M. Integration of Bayesian optimization and solution thermodynamics to optimize media design for mammalian biomanufacturing. iScience. 2025;28:112944. doi:10.1016/j.isci.2025.112944</w:t>
      </w:r>
    </w:p>
    <w:p>
      <w:pPr>
        <w:spacing w:line="240" w:lineRule="auto" w:after="80"/>
        <w:ind w:left="360" w:hanging="360"/>
      </w:pPr>
      <w:r>
        <w:rPr>
          <w:rFonts w:ascii="Times New Roman" w:hAnsi="Times New Roman" w:eastAsia="Times New Roman" w:cs="Times New Roman"/>
          <w:color w:val="000000"/>
          <w:sz w:val="20"/>
        </w:rPr>
        <w:t>11. Narayanan H, Hinckley JA, Barry R, Dang B, Wolffe LA, Atari A, Tseng Y-Y, Love JC. Accelerating cell culture media development using Bayesian optimization-based iterative experimental design. Nat Commun. 2025;16:6055. doi:10.1038/s41467-025-61113-5</w:t>
      </w:r>
    </w:p>
    <w:p>
      <w:pPr>
        <w:spacing w:line="240" w:lineRule="auto" w:after="80"/>
        <w:ind w:left="360" w:hanging="360"/>
      </w:pPr>
      <w:r>
        <w:rPr>
          <w:rFonts w:ascii="Times New Roman" w:hAnsi="Times New Roman" w:eastAsia="Times New Roman" w:cs="Times New Roman"/>
          <w:color w:val="000000"/>
          <w:sz w:val="20"/>
        </w:rPr>
        <w:t>12. Gisperg F, Klausser R, Elshazly M, Kopp J, Přáda Brichtová E, Spadiut O. Bayesian optimization in bioprocess engineering—Where do we stand today? Biotechnol Bioeng. 2025;122:1313–1325. doi:10.1002/bit.28960</w:t>
      </w:r>
    </w:p>
    <w:p>
      <w:pPr>
        <w:spacing w:line="240" w:lineRule="auto" w:after="80"/>
        <w:ind w:left="360" w:hanging="360"/>
      </w:pPr>
      <w:r>
        <w:rPr>
          <w:rFonts w:ascii="Times New Roman" w:hAnsi="Times New Roman" w:eastAsia="Times New Roman" w:cs="Times New Roman"/>
          <w:color w:val="000000"/>
          <w:sz w:val="20"/>
        </w:rPr>
        <w:t>13. Gotovos A, Casati N, Hitz G, Krause A. Active learning for level set estimation. Proceedings of the Twenty-Third International Joint Conference on Artificial Intelligence. 2013. Available from: https://people.csail.mit.edu/alkisg/files/gotovos13active.pdf</w:t>
      </w:r>
    </w:p>
    <w:p>
      <w:pPr>
        <w:spacing w:line="240" w:lineRule="auto" w:after="80"/>
        <w:ind w:left="360" w:hanging="360"/>
      </w:pPr>
      <w:r>
        <w:rPr>
          <w:rFonts w:ascii="Times New Roman" w:hAnsi="Times New Roman" w:eastAsia="Times New Roman" w:cs="Times New Roman"/>
          <w:color w:val="000000"/>
          <w:sz w:val="20"/>
        </w:rPr>
        <w:t>14. Azzimonti D, Ginsbourger D, Chevalier C, Bect J, Richet Y. Adaptive design of experiments for conservative estimation of excursion sets. Technometrics. 2021;63:13–26. doi:10.1080/00401706.2019.1693427</w:t>
      </w:r>
    </w:p>
    <w:p>
      <w:pPr>
        <w:spacing w:line="240" w:lineRule="auto" w:after="80"/>
        <w:ind w:left="360" w:hanging="360"/>
      </w:pPr>
      <w:r>
        <w:rPr>
          <w:rFonts w:ascii="Times New Roman" w:hAnsi="Times New Roman" w:eastAsia="Times New Roman" w:cs="Times New Roman"/>
          <w:color w:val="000000"/>
          <w:sz w:val="20"/>
        </w:rPr>
        <w:t>15. Bogunovic I, Scarlett J, Krause A, Cevher V. Truncated variance reduction: A unified approach to Bayesian optimization and level-set estimation. Advances in Neural Information Processing Systems. 2016;29. Available from: https://papers.neurips.cc/paper_files/paper/2016/hash/ce78d1da254c0843eb23951ae077ff5f-Abstract.html</w:t>
      </w:r>
    </w:p>
    <w:p>
      <w:pPr>
        <w:spacing w:line="240" w:lineRule="auto" w:after="80"/>
        <w:ind w:left="360" w:hanging="360"/>
      </w:pPr>
      <w:r>
        <w:rPr>
          <w:rFonts w:ascii="Times New Roman" w:hAnsi="Times New Roman" w:eastAsia="Times New Roman" w:cs="Times New Roman"/>
          <w:color w:val="000000"/>
          <w:sz w:val="20"/>
        </w:rPr>
        <w:t>16. Ament S, Daulton S, Eriksson D, Balandat M, Bakshy E. Unexpected improvements to expected improvement for Bayesian optimization. Advances in Neural Information Processing Systems. 2023;36. Available from: https://proceedings.neurips.cc/paper_files/paper/2023/hash/419f72cbd568ad62183f8132a3605a2a-Abstract-Conference.html</w:t>
      </w:r>
    </w:p>
    <w:p>
      <w:pPr>
        <w:spacing w:line="240" w:lineRule="auto" w:after="80"/>
        <w:ind w:left="360" w:hanging="360"/>
      </w:pPr>
      <w:r>
        <w:rPr>
          <w:rFonts w:ascii="Times New Roman" w:hAnsi="Times New Roman" w:eastAsia="Times New Roman" w:cs="Times New Roman"/>
          <w:color w:val="000000"/>
          <w:sz w:val="20"/>
        </w:rPr>
        <w:t>17. Gneiting T, Raftery AE. Strictly proper scoring rules, prediction, and estimation. J Am Stat Assoc. 2007;102:359–378. doi:10.1198/016214506000001437</w:t>
      </w:r>
    </w:p>
    <w:p>
      <w:pPr>
        <w:spacing w:line="240" w:lineRule="auto" w:after="80"/>
        <w:ind w:left="360" w:hanging="360"/>
      </w:pPr>
      <w:r>
        <w:rPr>
          <w:rFonts w:ascii="Times New Roman" w:hAnsi="Times New Roman" w:eastAsia="Times New Roman" w:cs="Times New Roman"/>
          <w:color w:val="000000"/>
          <w:sz w:val="20"/>
        </w:rPr>
        <w:t>18. Balandat M, Karrer B, Jiang D, Daulton S, Letham B, Wilson AG, et al. BoTorch: A framework for efficient Monte-Carlo Bayesian optimization. Advances in Neural Information Processing Systems. 2020;33. Available from: https://proceedings.neurips.cc/paper/2020/hash/f5b1b89d98b7286673128a5fb112cb9a-Abstract.html</w:t>
      </w:r>
    </w:p>
    <w:p>
      <w:pPr>
        <w:spacing w:line="240" w:lineRule="auto" w:after="80"/>
        <w:ind w:left="360" w:hanging="360"/>
      </w:pPr>
      <w:r>
        <w:rPr>
          <w:rFonts w:ascii="Times New Roman" w:hAnsi="Times New Roman" w:eastAsia="Times New Roman" w:cs="Times New Roman"/>
          <w:color w:val="000000"/>
          <w:sz w:val="20"/>
        </w:rPr>
        <w:t>19. Mia I, Tiihonen A, Ernst A, Srivastava A, Buonassisi T, Vandenberghe W, et al. Multi-variable batch Bayesian optimization in materials research: Synthetic data analysis of noise sensitivity and problem landscape effects. J Mater Res. 2026;41:927–948. doi:10.1557/s43578-026-01803-y</w:t>
      </w:r>
    </w:p>
    <w:p>
      <w:pPr>
        <w:spacing w:line="240" w:lineRule="auto" w:after="80"/>
        <w:ind w:left="360" w:hanging="360"/>
      </w:pPr>
      <w:r>
        <w:rPr>
          <w:rFonts w:ascii="Times New Roman" w:hAnsi="Times New Roman" w:eastAsia="Times New Roman" w:cs="Times New Roman"/>
          <w:color w:val="000000"/>
          <w:sz w:val="20"/>
        </w:rPr>
        <w:t>20. Morris TP, White IR, Crowther MJ. Using simulation studies to evaluate statistical methods. Stat Med. 2019;38:2074–2102. doi:10.1002/sim.8086</w:t>
      </w:r>
    </w:p>
    <w:p>
      <w:r>
        <w:br w:type="page"/>
      </w:r>
    </w:p>
    <w:p>
      <w:pPr>
        <w:pStyle w:val="Heading1"/>
        <w:widowControl/>
      </w:pPr>
      <w:r>
        <w:rPr>
          <w:rFonts w:ascii="Times New Roman" w:hAnsi="Times New Roman" w:eastAsia="Times New Roman" w:cs="Times New Roman"/>
          <w:color w:val="000000"/>
          <w:sz w:val="24"/>
        </w:rPr>
        <w:t>Supporting information captions</w:t>
      </w:r>
    </w:p>
    <w:p>
      <w:pPr>
        <w:widowControl/>
      </w:pPr>
      <w:r>
        <w:rPr>
          <w:rFonts w:ascii="Times New Roman" w:hAnsi="Times New Roman" w:eastAsia="Times New Roman" w:cs="Times New Roman"/>
          <w:color w:val="000000"/>
          <w:sz w:val="24"/>
        </w:rPr>
        <w:t xml:space="preserve">Main text Figures 1–4 follow the region-first presentation: method selection (Fig 1), SPADE’s certified-volume and containment advantage (Fig 2), the secondary point-recipe trade-off (Fig 3), and additional locked SPADE evidence C4/C6 (Fig 4). Numeric sources are in </w:t>
      </w:r>
      <w:r>
        <w:rPr>
          <w:rFonts w:ascii="Courier New" w:hAnsi="Courier New" w:eastAsia="Courier New" w:cs="Courier New"/>
          <w:color w:val="000000"/>
          <w:sz w:val="22"/>
        </w:rPr>
        <w:t>publication/manuscript/CLAIMS-AND-SOURCES.md</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2"/>
        </w:rPr>
        <w:t>research/results/comparisons/</w:t>
      </w:r>
      <w:r>
        <w:rPr>
          <w:rFonts w:ascii="Times New Roman" w:hAnsi="Times New Roman" w:eastAsia="Times New Roman" w:cs="Times New Roman"/>
          <w:color w:val="000000"/>
          <w:sz w:val="24"/>
        </w:rPr>
        <w:t>.</w:t>
      </w:r>
    </w:p>
    <w:p>
      <w:pPr>
        <w:widowControl/>
      </w:pPr>
      <w:r>
        <w:rPr>
          <w:rFonts w:ascii="Times New Roman" w:hAnsi="Times New Roman" w:eastAsia="Times New Roman" w:cs="Times New Roman"/>
          <w:b/>
          <w:color w:val="000000"/>
          <w:sz w:val="24"/>
        </w:rPr>
        <w:t>S1 Table.</w:t>
      </w:r>
      <w:r>
        <w:rPr>
          <w:rFonts w:ascii="Times New Roman" w:hAnsi="Times New Roman" w:eastAsia="Times New Roman" w:cs="Times New Roman"/>
          <w:color w:val="000000"/>
          <w:sz w:val="24"/>
        </w:rPr>
        <w:t xml:space="preserve"> Optional archive: historical Rule A versus Rule P terminal-rule rows.</w:t>
      </w:r>
    </w:p>
    <w:p>
      <w:pPr>
        <w:widowControl/>
      </w:pPr>
      <w:r>
        <w:rPr>
          <w:rFonts w:ascii="Times New Roman" w:hAnsi="Times New Roman" w:eastAsia="Times New Roman" w:cs="Times New Roman"/>
          <w:color w:val="000000"/>
          <w:sz w:val="24"/>
        </w:rPr>
        <w:t>Motivation only; not a current C1 claim.</w:t>
      </w:r>
    </w:p>
    <w:p>
      <w:pPr>
        <w:widowControl/>
      </w:pPr>
      <w:r>
        <w:rPr>
          <w:rFonts w:ascii="Times New Roman" w:hAnsi="Times New Roman" w:eastAsia="Times New Roman" w:cs="Times New Roman"/>
          <w:b/>
          <w:color w:val="000000"/>
          <w:sz w:val="24"/>
        </w:rPr>
        <w:t>S2 Table.</w:t>
      </w:r>
      <w:r>
        <w:rPr>
          <w:rFonts w:ascii="Times New Roman" w:hAnsi="Times New Roman" w:eastAsia="Times New Roman" w:cs="Times New Roman"/>
          <w:color w:val="000000"/>
          <w:sz w:val="24"/>
        </w:rPr>
        <w:t xml:space="preserve"> Optional archive: historical two-round map-error contrasts.</w:t>
      </w:r>
    </w:p>
    <w:p>
      <w:pPr>
        <w:widowControl/>
      </w:pPr>
      <w:r>
        <w:rPr>
          <w:rFonts w:ascii="Times New Roman" w:hAnsi="Times New Roman" w:eastAsia="Times New Roman" w:cs="Times New Roman"/>
          <w:color w:val="000000"/>
          <w:sz w:val="24"/>
        </w:rPr>
        <w:t>Motivation only; not a current C3 claim.</w:t>
      </w:r>
    </w:p>
    <w:p>
      <w:pPr>
        <w:widowControl/>
      </w:pPr>
      <w:r>
        <w:rPr>
          <w:rFonts w:ascii="Times New Roman" w:hAnsi="Times New Roman" w:eastAsia="Times New Roman" w:cs="Times New Roman"/>
          <w:b/>
          <w:color w:val="000000"/>
          <w:sz w:val="24"/>
        </w:rPr>
        <w:t>S3 Table.</w:t>
      </w:r>
      <w:r>
        <w:rPr>
          <w:rFonts w:ascii="Times New Roman" w:hAnsi="Times New Roman" w:eastAsia="Times New Roman" w:cs="Times New Roman"/>
          <w:color w:val="000000"/>
          <w:sz w:val="24"/>
        </w:rPr>
        <w:t xml:space="preserve"> Optional archive: older posterior self-consistency checks.</w:t>
      </w:r>
    </w:p>
    <w:p>
      <w:pPr>
        <w:widowControl/>
      </w:pPr>
      <w:r>
        <w:rPr>
          <w:rFonts w:ascii="Times New Roman" w:hAnsi="Times New Roman" w:eastAsia="Times New Roman" w:cs="Times New Roman"/>
          <w:color w:val="000000"/>
          <w:sz w:val="24"/>
        </w:rPr>
        <w:t>These do not replace empirical containment or the C3 certified-volume result.</w:t>
      </w:r>
    </w:p>
    <w:sectPr w:rsidR="00FC693F" w:rsidRPr="0006063C" w:rsidSect="00034616">
      <w:footerReference w:type="default" r:id="rId9"/>
      <w:pgSz w:w="12240" w:h="15840"/>
      <w:pgMar w:top="1440" w:right="1440" w:bottom="2160" w:left="1440" w:header="708" w:footer="708"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t xml:space="preserve">Page </w:t>
    </w:r>
    <w:r>
      <w:rPr>
        <w:rFonts w:ascii="Times New Roman" w:hAnsi="Times New Roman" w:eastAsia="Times New Roman" w:cs="Times New Roman"/>
        <w:color w:val="000000"/>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Operating-region and point-recipe decisions rank experimental designs differently under a fixed 48-well budget: a synthetic SPADE comparison with Bayesian optimization and response-surface design</dc:title>
  <dc:subject>PLOS ONE research article manuscript</dc:subject>
  <dc:creator>python-docx</dc:creator>
  <cp:keywords>SPADE; Bayesian optimization; response-surface methodology; design space</cp:keywords>
  <dc:description>generated by python-docx</dc:description>
  <cp:lastModifiedBy/>
  <cp:revision>1</cp:revision>
  <dcterms:created xsi:type="dcterms:W3CDTF">2013-12-23T23:15:00Z</dcterms:created>
  <dcterms:modified xsi:type="dcterms:W3CDTF">2013-12-23T23:15:00Z</dcterms:modified>
  <cp:category/>
</cp:coreProperties>
</file>