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Operating-region and point-recipe decisions rank experimental designs differently under a fixed 48-well budget: a synthetic SPADE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The authors have declared that no competing interests exist. No commercial entity funded, owned, or directed this analysis. Retrospective in-house assay files used only for supporting uncertainty diagnostics (Supporting Information) were academic research materials and conferred no financial interest.</w:t>
      </w:r>
    </w:p>
    <w:p>
      <w:pPr>
        <w:pStyle w:val="Heading1"/>
        <w:widowControl/>
      </w:pPr>
      <w:r>
        <w:rPr>
          <w:rFonts w:ascii="Times New Roman" w:hAnsi="Times New Roman" w:eastAsia="Times New Roman" w:cs="Times New Roman"/>
          <w:color w:val="000000"/>
          <w:sz w:val="24"/>
        </w:rPr>
        <w:t>Funding</w:t>
      </w:r>
    </w:p>
    <w:p>
      <w:pPr>
        <w:widowControl/>
      </w:pPr>
      <w:r>
        <w:rPr>
          <w:rFonts w:ascii="Times New Roman" w:hAnsi="Times New Roman" w:eastAsia="Times New Roman" w:cs="Times New Roman"/>
          <w:color w:val="000000"/>
          <w:sz w:val="24"/>
        </w:rPr>
        <w:t>This work received no specific grant from any funding agency in the public, commercial, or not-for-profit sectors. Computational resources were provided by the authors’ academic affiliations.</w:t>
      </w:r>
    </w:p>
    <w:p>
      <w:pPr>
        <w:pStyle w:val="Heading1"/>
        <w:widowControl/>
      </w:pPr>
      <w:r>
        <w:rPr>
          <w:rFonts w:ascii="Times New Roman" w:hAnsi="Times New Roman" w:eastAsia="Times New Roman" w:cs="Times New Roman"/>
          <w:color w:val="000000"/>
          <w:sz w:val="24"/>
        </w:rPr>
        <w:t>Ethics statement</w:t>
      </w:r>
    </w:p>
    <w:p>
      <w:pPr>
        <w:widowControl/>
      </w:pPr>
      <w:r>
        <w:rPr>
          <w:rFonts w:ascii="Times New Roman" w:hAnsi="Times New Roman" w:eastAsia="Times New Roman" w:cs="Times New Roman"/>
          <w:color w:val="000000"/>
          <w:sz w:val="24"/>
        </w:rPr>
        <w:t>All primary experiments were computer simulations on synthetic response surfaces. No new human participants, animals, cell lines, or biological specimens were generated for this study, and no institutional review board approval was required for the synthetic benchmark. Retrospective in-house assay files used in supporting diagnostics were previously collected academic materials; no new human or animal sampling was performed for this manuscript.</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With a fixed number of experimental wells, a lab may want either one best recipe or a set of settings it can trust to stay above a quality threshold. Those goals are different, so the “best” method can change with the goal. We tested SPADE (Synthetic Posterior Abstaining Design for Excursions)—software that tries to return a conservative operating region and may say “not sure” instead of guessing—against noisy Bayesian optimization (qLogNEI) and classical response-surface DoE on synthetic test problems, all with the same 48-well budget. Conclusion: on this benchmark, choose SPADE when you need a trusted region; choose DoE (or similar) when you only need one recipe. Against qLogNEI at five matched rounds, SPADE returned a usable region much more often (116 of 320 comparisons versus 6 of 320). When a method returned nothing, we counted volume as zero. Average region size was therefore higher for SPADE (0.000864 versus 0.0000094 on a 2,000-point map; difference +0.000855). A 95% confidence interval for that average difference ran from +0.000691 to +0.001028 and did not include zero; a randomization check gave p &lt; 0.000125. “Certified volume” here means the share of that map inside the region the method is willing to call acceptable. Among the rare times qLogNEI did answer, its regions were still smaller on average (0.00050 versus 0.00238 for SPADE). Against DoE, SPADE’s answered regions always matched truth (66/66), while DoE answered more often but was often wrong. DoE did win at finding a single best recipe. Five-round SPADE looked similar to longer ten-round qLogNEI on recipe quality, without proving they are equivalent. These findings are for synthetic surfaces and moderate noise only—not wet-lab proof.</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(Synthetic Posterior Abstaining Design for Excursions)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We report linked findings labeled C1–C6 and S1–S3. C3 asks whether matched five-round SPADE returns greater certified volume than qLogNEI. C1 asks whether five-round SPADE differs detectably from ten-round qLogNEI on point regret. C2 compares regional containment and point regret with one screened and one unscreened response-surface DoE pipeline. C4 asks whether three-round SPADE improves point regret relative to one-shot Latin hypercube sampling. C5 and C6 examine family/prevalence scope. Supporting analyses S2 and S3 diagnose real-data posterior collapse and assay-specific calibration (reported as supporting information summaries). Finally, S1, a real-noise ceiling, and a later development gate that selected no protocol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DC and LC programs used five synthetic response families—Ackley, Hartmann6, biphasic Hill, Levy, and Rosenbrock—32 deterministic seeds per family, six normalized factors, 48 measured wells, and relative observation noise 0.25.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DC supplied the one-process point comparison (C1) and DoE comparison (C2). LC supplied the leave-one-family-out matched-round comparison (C3). TAU supplied the prevalence and margin-to-noise analyses (C5/C6). TT tested the proposed targeting mechanism (S1). Retrospective in-house and published Hall–Ogle data supplied supporting uncertainty diagnostics (S2/S3), not prospective validation.</w:t>
      </w:r>
    </w:p>
    <w:p>
      <w:pPr>
        <w:widowControl/>
      </w:pPr>
      <w:r>
        <w:rPr>
          <w:rFonts w:ascii="Times New Roman" w:hAnsi="Times New Roman" w:eastAsia="Times New Roman" w:cs="Times New Roman"/>
          <w:color w:val="000000"/>
          <w:sz w:val="24"/>
        </w:rPr>
        <w:t>All synthetic arms used 48 wells.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Lines/>
        <w:spacing w:before="0" w:after="120" w:line="240" w:lineRule="auto"/>
      </w:pPr>
      <w:r>
        <w:rPr>
          <w:rFonts w:ascii="Times New Roman" w:hAnsi="Times New Roman" w:eastAsia="Times New Roman" w:cs="Times New Roman"/>
          <w:b/>
          <w:color w:val="000000"/>
          <w:sz w:val="20"/>
        </w:rPr>
        <w:t>Fig 1. Study design under a fixed 48-well budget.</w:t>
      </w:r>
      <w:r>
        <w:rPr>
          <w:rFonts w:ascii="Times New Roman" w:hAnsi="Times New Roman" w:eastAsia="Times New Roman" w:cs="Times New Roman"/>
          <w:color w:val="000000"/>
          <w:sz w:val="20"/>
        </w:rPr>
        <w:t xml:space="preserve"> (A) Every arm uses the same 48-well campaign; the method chooses round structure and the terminal return. (B) The campaign is scored as a point-recipe decision (simple regret) and/or an operating-region decision (certified volume, containment, or abstention). (C) Comparators: SPADE (region-first), qLogNEI (noisy Bayesian optimization), and DoE response-surface pipelines. This schematic defines the benchmark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In plain language we score two end-of-run decisions. A point recipe is “pick one setting”; we measure how far that pick is from the true best (simple regret; lower is better). An operating region is “which settings are still good enough?”; we measure how large a conservative region the method returns (certified volume), whether that region sits inside truth when it answers (containment), and how often it refuses to answer (abstention).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C3 selected the smallest posterior inflation c that passed the registered rule on four families and evaluated volume on the held-out fifth family. It pooled prevalence 0.30 and 0.10, yielding five families x 32 seeds x two prevalences = 320 dependent family-seed-prevalence cells. C2 used a weaker procedure: SPADE selected c=1 within the DC cells themselves. Neither DoE arm passed at any tested inflation, so its reported counts are fallback diagnostics at baseline c=1. C2 is within-sample and not transportable; it is not the held-out-family calibration used for C3.</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With 8,000 resamples the finest non-zero two-sided tail probability that can be reported is 1/8,000 = 0.000125; we therefore write p &lt; 0.000125 rather than a finer bound. Point regret used a registered smallest effect of interest of ±0.02. No smallest effect of interest was registered for certified volume; volume contrasts are interpreted as directional evidence for the tested regional decision.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C5 Spearman coefficient is descriptive over 25 nested, nonexchangeable family-prevalence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C1–C6/S1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lists the settings for this comparison (C3). In plain terms: after the same number of feedback rounds and the same 48 wells, does SPADE return a trustworthy operating region more usefully than qLogNEI?</w:t>
      </w:r>
    </w:p>
    <w:p>
      <w:pPr>
        <w:widowControl/>
      </w:pPr>
      <w:r>
        <w:rPr>
          <w:rFonts w:ascii="Times New Roman" w:hAnsi="Times New Roman" w:eastAsia="Times New Roman" w:cs="Times New Roman"/>
          <w:color w:val="000000"/>
          <w:sz w:val="24"/>
        </w:rPr>
        <w:t>Yes—mainly because SPADE answers more often. Under leave-one-family-out calibration, SPADE returned a non-empty region in 116 of 320 paired contrasts (36%), while qLogNEI did so in only 6 of 320 (2%). We score “no region” as volume zero. Average certified volume across all contrasts was therefore 0.000864 for SPADE versus 0.0000094 for qLogNEI (about 1.73 versus 0.019 points on the 2,000-point scoring grid). The average difference was +0.000855. A 95% confidence interval for that average ran from +0.000691 to +0.001028 (entirely above zero); a bootstrap check gave p &lt; 0.000125 (n = 320 paired contrasts).</w:t>
      </w:r>
    </w:p>
    <w:p>
      <w:pPr>
        <w:widowControl/>
      </w:pPr>
      <w:r>
        <w:rPr>
          <w:rFonts w:ascii="Times New Roman" w:hAnsi="Times New Roman" w:eastAsia="Times New Roman" w:cs="Times New Roman"/>
          <w:color w:val="000000"/>
          <w:sz w:val="24"/>
        </w:rPr>
        <w:t>So the headline is mostly an answer-rate result: qLogNEI almost never certifies anything under these rules. When both methods did answer, SPADE’s regions were still larger on average (0.00238 versus 0.00050, i.e., about one grid point for qLogNEI). Certified volume means the fraction of the scoring grid inside the returned region. We did not pre-register a “how big a volume win counts” threshold, so we treat this as directional support for the region decision—not a claim that SPADE is always best. A similar three-round volume claim was withdrawn after more seeds were run.</w:t>
      </w:r>
    </w:p>
    <w:p>
      <w:pPr>
        <w:keepLines/>
        <w:spacing w:before="0" w:after="120" w:line="240" w:lineRule="auto"/>
      </w:pPr>
      <w:r>
        <w:rPr>
          <w:rFonts w:ascii="Times New Roman" w:hAnsi="Times New Roman" w:eastAsia="Times New Roman" w:cs="Times New Roman"/>
          <w:b/>
          <w:color w:val="000000"/>
          <w:sz w:val="20"/>
        </w:rPr>
        <w:t>Fig 2. SPADE’s regional advantage versus qLogNEI and DoE.</w:t>
      </w:r>
      <w:r>
        <w:rPr>
          <w:rFonts w:ascii="Times New Roman" w:hAnsi="Times New Roman" w:eastAsia="Times New Roman" w:cs="Times New Roman"/>
          <w:color w:val="000000"/>
          <w:sz w:val="20"/>
        </w:rPr>
        <w:t xml:space="preserve"> (A) How much larger SPADE’s average certified volume is than qLogNEI’s at matched five rounds (+0.000855; 95% CI +0.000691 to +0.001028; p &lt; 0.000125; n = 320), counting “no region” as zero volume. SPADE returned a region in 116/320 comparisons; qLogNEI in 6/320. (B) When each method did return a region versus DoE at prevalence 0.30: SPADE 66/66 correct; screened DoE 85/122; unscreened DoE 77/134. Counting every campaign (including no-answers): 66/160, 85/160, and 77/160 correct.</w:t>
      </w:r>
    </w:p>
    <w:p>
      <w:pPr>
        <w:keepNext/>
        <w:keepLines/>
        <w:widowControl/>
      </w:pPr>
      <w:r>
        <w:rPr>
          <w:rFonts w:ascii="Times New Roman" w:hAnsi="Times New Roman" w:eastAsia="Times New Roman" w:cs="Times New Roman"/>
          <w:b/>
          <w:color w:val="000000"/>
          <w:sz w:val="24"/>
        </w:rPr>
        <w:t>Table 1. C3 matched-round regional comparison.</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Here the question is recipe quality, not regions (comparison C1). Both methods used 48 wells; SPADE used five rounds and qLogNEI used ten. Average simple regret differed by −0.0005 (SPADE minus qLogNEI), with a 95% confidence interval from −0.0221 to +0.0207 (p = 0.96; n = 160 family–seed pairs). In words: we see no clear winner on the single best recipe, and the interval is wide enough that we also cannot claim the two methods are practically equivalent within the pre-set ±0.02 margin. Calendar time and dollar cost were not measured.</w:t>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w:t>
      </w:r>
      <w:r>
        <w:rPr>
          <w:rFonts w:ascii="Times New Roman" w:hAnsi="Times New Roman" w:eastAsia="Times New Roman" w:cs="Times New Roman"/>
          <w:color w:val="000000"/>
          <w:sz w:val="20"/>
        </w:rPr>
        <w:t xml:space="preserve"> (A) SPADE at five rounds versus qLogNEI at ten rounds on simple regret: no clear difference (−0.0005; 95% CI −0.0221 to +0.0207; n = 160)—not claimed as equivalence. (B) SPADE at five rounds versus screened DoE at three rounds: DoE finds the better single recipe (+0.1026; 95% CI +0.0486 to +0.1578).</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Against classical DoE the trade-off is clear (Table 2). On finding one best recipe, screened DoE won: SPADE’s regret was worse by +0.1026 (95% CI +0.0486 to +0.1578, p = 0.0003; n = 160). DoE used three rounds; SPADE used five.</w:t>
      </w:r>
    </w:p>
    <w:p>
      <w:pPr>
        <w:widowControl/>
      </w:pPr>
      <w:r>
        <w:rPr>
          <w:rFonts w:ascii="Times New Roman" w:hAnsi="Times New Roman" w:eastAsia="Times New Roman" w:cs="Times New Roman"/>
          <w:color w:val="000000"/>
          <w:sz w:val="24"/>
        </w:rPr>
        <w:t>On trustworthy regions, the ranking flips. At the main region setting (30% of the space truly “good,” moderate noise), SPADE returned a region in 66 of 160 campaigns and every one of those 66 matched truth (100%; statistical lower bound 0.9556). SPADE used a within-sample inflation choice of c = 1. Neither DoE arm passed at any tested inflation, so DoE counts are fallback diagnostics at baseline c = 1: screened DoE answered 122/160 with 85 contained (0.6967 among answers); unscreened DoE answered 134/160 with 77 contained (0.5746). SPADE’s inflation was selected on these cells while the DoE arms had no passing inflation to select, so the comparison is not calibration-matched; it reports what each pipeline returns under its own best available setting. Per eligible campaign, contained counts were 66/160 for SPADE versus 85/160 (screened DoE) and 77/160 (unscreened DoE). DoE therefore returns more correct regions on an unconditional count only because it answers more often, including incorrect certificates (37 wrong among screened answers; 57 wrong among unscreened answers). SPADE abstains more often (94/160). Under an asymmetric loss in which a false certified region is treated as a manufacturing failure and abstention is treated as a request for more data, the conditional 66/66 record is the primary regional score and the unconditional gap does not overturn it.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C2 regional answers and point trade-off.</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eligible</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Within-sample selected c=1</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R2* (protocol label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77/160</w:t>
            </w:r>
          </w:p>
        </w:tc>
      </w:tr>
    </w:tbl>
    <w:p>
      <w:pPr>
        <w:spacing w:after="40"/>
      </w:pPr>
    </w:p>
    <w:p>
      <w:pPr>
        <w:widowControl/>
      </w:pPr>
      <w:r>
        <w:rPr>
          <w:rFonts w:ascii="Times New Roman" w:hAnsi="Times New Roman" w:eastAsia="Times New Roman" w:cs="Times New Roman"/>
          <w:color w:val="000000"/>
          <w:sz w:val="24"/>
        </w:rPr>
        <w:t>\*Unscreened DoE executes a design stage plus one confirmation well (two measurement stages) but retains the protocol’s “R3” comparator label.</w:t>
      </w:r>
    </w:p>
    <w:p>
      <w:pPr>
        <w:keepLines/>
        <w:spacing w:before="0" w:after="120" w:line="240" w:lineRule="auto"/>
      </w:pPr>
      <w:r>
        <w:rPr>
          <w:rFonts w:ascii="Times New Roman" w:hAnsi="Times New Roman" w:eastAsia="Times New Roman" w:cs="Times New Roman"/>
          <w:b/>
          <w:color w:val="000000"/>
          <w:sz w:val="20"/>
        </w:rPr>
        <w:t>Fig 4. Extra SPADE checks (C4 and C6).</w:t>
      </w:r>
      <w:r>
        <w:rPr>
          <w:rFonts w:ascii="Times New Roman" w:hAnsi="Times New Roman" w:eastAsia="Times New Roman" w:cs="Times New Roman"/>
          <w:color w:val="000000"/>
          <w:sz w:val="20"/>
        </w:rPr>
        <w:t xml:space="preserve"> (A) SPADE beats one-shot Latin hypercube sampling on recipe quality at three rounds (advantage +0.0783). Sample size is n = 80 (four families × 20 seeds), not n = 160, by protocol. (B) On a biology-shaped Hill test at prevalence 0.70, SPADE answered more often than qLogNEI (40/64 versus 27/64); every answered region for both methods was correct.</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Supporting real-data diagnostics (summarized; full rows in Supporting Information)</w:t>
      </w:r>
    </w:p>
    <w:p>
      <w:pPr>
        <w:widowControl/>
      </w:pPr>
      <w:r>
        <w:rPr>
          <w:rFonts w:ascii="Times New Roman" w:hAnsi="Times New Roman" w:eastAsia="Times New Roman" w:cs="Times New Roman"/>
          <w:color w:val="000000"/>
          <w:sz w:val="24"/>
        </w:rPr>
        <w:t>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S2/S3 values are retrospective, stdout-reproduced support without structured numerical guards. LOO prediction does not identify latent-function uncertainty, and the in-house CD31 gates remain awaiting human confirmation.</w:t>
      </w:r>
    </w:p>
    <w:p>
      <w:pPr>
        <w:pStyle w:val="Heading2"/>
        <w:widowControl/>
      </w:pPr>
      <w:r>
        <w:rPr>
          <w:rFonts w:ascii="Times New Roman" w:hAnsi="Times New Roman" w:eastAsia="Times New Roman" w:cs="Times New Roman"/>
          <w:color w:val="000000"/>
          <w:sz w:val="24"/>
        </w:rPr>
        <w:t>Failed targeting, the real-noise ceiling, and the unopened confirmation store</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0.000125).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A later future-response development grid evaluated nine candidate protocols on five families. Table 3 reports its preserved ranges; every candidate missed the registered containment floor on at least one family. The selector returned no protocol, no post-hoc power calculation was authorized, and the held-out confirmation records remained frozen and unopened. No confirmation evidence was released.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C2 calibration is within-sample; only C3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The real-data analyses are retrospective diagnostics. They do not establish recipe equivalence, manufacturing qualification, regulatory validation, or prospective wet-lab performance. The relative-noise ceiling, unsigned in-house gates, missing replicate-tube noise identification, the joint-protocol development outcome that selected no protocol, and the unopened confirmation store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On this synthetic 48-well benchmark, SPADE is the better tool when the job is a trusted operating region with honest abstention: it returns a region far more often than qLogNEI under the same conservative rules, and when it answers against DoE it stays inside truth. It is not the better tool when the job is only one carry-forward recipe—DoE wins that comparison. Five-round SPADE looks similar to longer qLogNEI on recipe quality without proving equivalence. These computer results do not replace wet-lab validation or regulatory qualification.</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Primary result files, analysis scripts, protocols, and supporting tables are available in the project repository at https://github.com/akwnn/nutrigene-ai-bo-ipsec (commit ec14bc7 anchors the audited publication package; the submission branch carries the PLOS manuscript rebuilds). Original software is released under the MIT License; original research materials are released under CC BY 4.0 (see LICENSE and LICENSE-CONTENT.md). Audited claim sources are indexed in publication/manuscript/CLAIMS-AND-SOURCES.md. A DOI-bearing Zenodo (or equivalent) archival snapshot of the submission package will be minted at or before journal submission and will replace this placeholder (see manuscript/ZENODO-DEPOSIT.md). Until that DOI is issued, the GitHub repository is the working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locked SPADE evidence C4/C6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a current C1 claim.</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a current C3 claim.</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C3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Operating-region and point-recipe decisions rank experimental designs differently under a fixed 48-well budget: a synthetic SPADE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