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volume as zero. Average region size was therefore higher for SPADE (0.000864 versus 0.0000094 on a 2,000-point map; difference +0.000855). A 95% confidence interval for that average difference ran from +0.000691 to +0.001028 and did not include zero; a randomization check gave p &lt; 0.000125. “Certified volume” here means the share of that map inside the region the method is willing to call acceptable. Among the rare times qLogNEI did answer, its regions were still smaller on average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how large a conservative region the method returns (certified volume),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return a trustworthy operating region more usefully than qLogNEI?</w:t>
      </w:r>
    </w:p>
    <w:p>
      <w:pPr>
        <w:widowControl/>
      </w:pPr>
      <w:r>
        <w:rPr>
          <w:rFonts w:ascii="Times New Roman" w:hAnsi="Times New Roman" w:eastAsia="Times New Roman" w:cs="Times New Roman"/>
          <w:color w:val="000000"/>
          <w:sz w:val="24"/>
        </w:rPr>
        <w:t>Yes—mainly because SPADE answers more often.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points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certifies anything under these rules. When both methods did answer, SPADE’s regions were still larger on average (0.00238 versus 0.00050, i.e., about one grid point for qLogNEI). Certified volume means the fraction of the scoring grid inside the returned region.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How much larger SPADE’s average certified volume 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