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certified volume as zero. Mean certified volume was therefore higher for SPADE (0.000864 versus 0.0000094 on a 2,000-point scoring grid; difference +0.000855). A 95% confidence interval for that average difference ran from +0.000691 to +0.001028 and did not include zero; a randomization check gave p &lt; 0.000125. Certified volume means the fraction of that scoring grid inside the region the method is willing to call acceptable (one grid point = 0.0005). Among the rare times qLogNEI did answer, its mean certified volume was still lower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certified volume (the fraction of the scoring grid inside the returned region),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comparison (C3). In plain terms: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Yes—mainly because 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returns non-zero certified volume under these rules. When both methods did answer, SPADE’s mean certified volume was still higher (0.00238 versus 0.00050, i.e., about one grid point for qLogNEI). We did not pre-register a “how big a volume win counts” threshold, so we treat this as directional support for the region decision—not a claim that SPADE is always best. A similar three-round volume claim was withdrawn after more seeds were run.</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SPADE’s mean certified volume minus qLogNEI’s than qLogNEI’s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(comparison C1).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Extra SPADE checks (C4 and C6).</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