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4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Cover letter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Dear Editors,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Please consider our research article, “Point and region objectives reverse method rankings in a synthetic benchmark of SPADE and experimental design strategies,” for PLOS ONE.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We compare point recommendations and acceptable-region maps under matched experimental budgets. We position SPADE against established straddle, conservative excursion-set, and TruVaR methods, and distinguish our synthetic evidence from published physical-process studies. Our contribution is a controlled evaluation of endpoint-dependent rankings, targeting mechanisms, and certificate validity, rather than a new level-set principle.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In the prespecified synthetic Hill condition, SPADE reduced latent-map error by 15.3% relative to noisy Bayesian optimization while retaining practical point-regret parity. Boundary targeting did not outperform random second-round placement. The original posterior certificate checks did not establish empirical validity, and a separate 2,750-row development study stopped without selecting a transferable protocol. We report these negative results and distinguish archived-row reanalysis from unresolved exact-replay limitations. We make no claim of biological validation or universal method superiority.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The discussion addresses the strong one-shot Latin-hypercube comparator and limits the practical-gain claim accordingly. The manuscript includes four main figures, a comparison with published studies, and three supporting tables. [AUTHOR CONFIRMATION REQUIRED: archival repository DOI and reviewer-access URL.]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[AUTHOR CONFIRMATION REQUIRED: prior interactions with PLOS, related manuscripts or preprints, and whether this work is under consideration elsewhere.]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[AUTHOR CONFIRMATION REQUIRED: suggested Academic Editors and any opposed reviewers with reasons.]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[AUTHOR CONFIRMATION REQUIRED: all authors have reviewed the manuscript, agreed to their contributions, and approved this submission.]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Sincerely,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[CORRESPONDING AUTHOR NAME AND EMAIL TO BE CONFIRMED]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240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>PLOS ONE cover letter</dc:subject>
  <dc:creator>python-docx</dc:creator>
  <cp:keywords>SPADE; Bayesian optimization; response-surface methodology; design space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