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(Synthetic Posterior Abstaining Design for Excursions), an assay-oriented integration of established Gaussian-process level-set and conservative-set methods, against noisy Bayesian optimization (qLogNEI) and a response-surface design of experiments (DoE) on synthetic families under 48-well budgets. At matched five rounds, SPADE returned greater certified volume than qLogNEI (mean volumes 0.000864 versus 0.000009 on the 2,000-point scoring grid, about a 92-fold ratio; difference +0.000855, 95% CI [+0.000691, +0.001028], p &lt; 0.000125, n = 320 dependent cells). One grid point equals 0.0005 of volume, so the mean difference is about 1.7 grid points; no smallest effect of interest was registered for volume, and we interpret the contrast as directional support for the tested region decision rather than universal superiority. Five-round SPADE showed no detectable point-regret difference from ten-round qLogNEI (−0.0005, 95% CI [−0.0221, +0.0207], p = 0.96, n = 160), without claiming equivalence. Screened three-round DoE found the better point recipe (+0.1026 SPADE-minus-DoE regret). For regions at prevalence 0.30, SPADE answered 66/160 campaigns and contained truth in all 66 answers, whereas screened DoE answered 122/160 with 85 contained and unscreened DoE answered 134/160 with 77 contained. Per eligible campaign, contained counts were 66/160 (SPADE) versus 85/160 and 77/160 (DoE arms): DoE returns more correct regions only because it answers more often, including wrong certificates. Under an asymmetric loss that treats a false certified region as worse than abstention, SPADE’s 66/66 conditional record is the relevant regional score.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218783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2187833"/>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 (A) Every compared arm uses the same 48-well campaign total; the method chooses round structure and the terminal return. (B) The same wells can be scored as a point-recipe decision (simple regret) or as an operating-region decision (certified volume, truth containment, or abstention). (C) SPADE is evaluated as the region-first architecture; qLogNEI is the noisy Bayesian-optimization comparator; DoE pipelines are classical response-surface designs that often win the single-recipe job. This schematic defines the benchmark and contains no performance result.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