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certified volume as zero. Mean certified volume was therefore higher for SPADE (0.000864 versus 0.0000094 on a 2,000-point scoring grid; difference +0.000855). A 95% confidence interval for that average difference ran from +0.000691 to +0.001028 and did not include zero; a randomization check gave p &lt; 0.000125. Certified volume means the fraction of that scoring grid inside the region the method is willing to call acceptable (one grid point = 0.0005). Among the rare times qLogNEI did answer, its mean certified volume was still lower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certified volume (the fraction of the scoring grid inside the returned region),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In plain terms: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Yes—mainly because 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returns non-zero certified volume under these rules. When both methods did answer, SPADE’s mean certified volume was still higher (0.00238 versus 0.00050, i.e., about one grid point for qLogNEI). We did not pre-register a “how big a volume win counts” threshold, so we treat this as directional support for the region decision—not a claim that SPADE is always best. A similar three-round volume claim was withdrawn after more seeds were run.</w:t>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