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 may want either one best recipe or a set of settings it can trust to stay above a quality threshold. Those goals are different, so the “best” method can change with the goal. We tested SPADE (Synthetic Posterior Abstaining Design for Excursions)—software that tries to return a conservative operating region and may say “not sure” instead of guessing—against noisy Bayesian optimization (qLogNEI) and classical response-surface DoE on synthetic test problems, all with the same 48-well budget. Conclusion: on this benchmark, choose SPADE when you need a trusted region; choose DoE (or similar) when you only need one recipe. Against qLogNEI at five matched rounds, SPADE returned a usable region much more often (116 of 320 comparisons versus 6 of 320). When a method returned nothing, we counted certified volume as zero. Mean certified volume was therefore higher for SPADE (0.000864 versus 0.0000094 on a 2,000-point scoring grid; difference +0.000855). A 95% confidence interval for that average difference ran from +0.000691 to +0.001028 and did not include zero; a randomization check gave p &lt; 0.000125. Certified volume means the fraction of that scoring grid inside the region the method is willing to call acceptable (one grid point = 0.0005). Among the rare times qLogNEI did answer, its mean certified volume was still lower (0.00050 versus 0.00238 for SPADE). Against DoE, SPADE’s answered regions always matched truth (66/66), while DoE answered more often but was often wrong. DoE did win at finding a single best recipe. Five-round SPADE looked similar to longer ten-round qLogNEI on recipe quality, without proving they are equivalent. These findings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several linked comparisons. The primary regional question is whether matched five-round SPADE returns greater certified volume than qLogNEI. A second question is whether five-round SPADE differs detectably from ten-round qLogNEI on point regret. A third compares regional containment and point regret with one screened and one unscreened response-surface DoE pipeline. We also ask whether three-round SPADE improves point regret relative to one-shot Latin hypercube sampling, and we examine how answer rates vary with family and prevalence. Supporting retrospective analyses diagnose real-data posterior collapse and assay-specific calibration. A failed targeting variant,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one-process comparison program (DC) and leave-one-family-out matched-round program (LC) used five synthetic response families—Ackley, Hartmann6, biphasic Hill, Levy, and Rosenbrock—32 deterministic seeds per family, six normalized factors, 48 measured wells, and relative observation noise 0.25. The prevalence and margin-to-noise program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and the DoE comparison. LC supplied the leave-one-family-out matched-round volume comparison. TAU supplied the prevalence and margin-to-noise analyses. A separate targeting-test program (TT) tested the proposed targeting mechanism. Retrospective in-house and published Hall–Ogle data supplied supporting uncertainty diagnostics,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33279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332792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In plain language we score two end-of-run decisions. A point recipe is “pick one setting”; we measure how far that pick is from the true best (simple regret; lower is better). An operating region is “which settings are still good enough?”; we measure certified volume (the fraction of the scoring grid inside the returned region), whether that region sits inside truth when it answers (containment), and how often it refuses to answer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The matched-round volume comparison selected the smallest posterior inflation c that passed the registered rule on four families and evaluated volume on the held-out fifth family. It pooled prevalence 0.30 and 0.10, yielding five families × 32 seeds × two prevalences = 320 dependent family-seed-prevalence cells. The DoE regional comparison used a weaker procedure: SPADE selected c = 1 within the DC cells themselves. Neither DoE arm passed at any tested inflation, so its reported counts are fallback diagnostics at baseline c = 1. That DoE comparison is within-sample and not transportable; it is not the held-out-family calibration used for the matched-round volume comparison.</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family–prevalence Spearman coefficient relating answer rate to margin-to-noise is descriptive over 25 nested, nonexchangeable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claim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matched-round volume comparison. In plain terms: after the same number of feedback rounds and the same 48 wells, does SPADE achieve higher certified volume than qLogNEI under the same regional rules?</w:t>
      </w:r>
    </w:p>
    <w:p>
      <w:pPr>
        <w:widowControl/>
      </w:pPr>
      <w:r>
        <w:rPr>
          <w:rFonts w:ascii="Times New Roman" w:hAnsi="Times New Roman" w:eastAsia="Times New Roman" w:cs="Times New Roman"/>
          <w:color w:val="000000"/>
          <w:sz w:val="24"/>
        </w:rPr>
        <w:t>Yes—mainly because SPADE returns a non-empty region more often, which raises mean certified volume when abstentions count as zero.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grid points of certified volume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So the headline is mostly an answer-rate result: qLogNEI almost never returns non-zero certified volume under these rules. When both methods did answer, SPADE’s mean certified volume was still higher (0.00238 versus 0.00050, i.e., about one grid point for qLogNEI). We did not pre-register a “how big a volume win counts” threshold, so we treat this as directional support for the region decision—not a claim that SPADE is always best. A similar three-round volume claim was withdrawn after more seeds were run.</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Mean certified-volume difference (SPADE minus qLogNEI)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Matched-round certified-volume comparison (SPADE vs qLogNEI).</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Here the question is recipe quality, not regions. Both methods used 48 wells; SPADE used five rounds and qLogNEI used ten. Average simple regret differed by −0.0005 (SPADE minus qLogNEI), with a 95% confidence interval from −0.0221 to +0.0207 (p = 0.96; n = 160 family–seed pairs). In words: we see no clear winner on the single best recipe, and the interval is wide enough that we also cannot claim the two methods are practically equivalent within the pre-set ±0.02 margin. Calendar time and dollar cost were not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Regional answers and point trade-off versus DoE.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Extra SPADE checks versus space-filling sampling and on Hill.</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retrospective values are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DoE-comparison calibration is within-sample; only the matched-round volume comparison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SPADE checks versus space-filling sampling and on Hill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part of the current point-regret comparison.</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part of the current matched-round volume comparison.</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matched-round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