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40" w:line="240" w:lineRule="auto"/>
        <w:jc w:val="center"/>
      </w:pPr>
      <w:r>
        <w:rPr>
          <w:rFonts w:ascii="Times New Roman" w:hAnsi="Times New Roman" w:eastAsia="Times New Roman" w:cs="Times New Roman"/>
          <w:b/>
          <w:color w:val="000000"/>
          <w:sz w:val="28"/>
        </w:rPr>
        <w:t>Operating-region and point-recipe decisions rank experimental designs differently under a fixed 48-well budget: a synthetic SPADE comparison with Bayesian optimization and response-surface design</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Fixed-budget operating-region decisions</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Alana Wai Han Kwan¹*, Joseph Yung²</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¹ Department of Chemical Engineering, Columbia University, New York, New York, United States of America ² Department of Industrial Engineering and Operations Research, Columbia University, New York, New York, United States of America</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Alana Wai Han Kwan¹ (11281128alana@gmail.com)</w:t>
      </w:r>
    </w:p>
    <w:p>
      <w:pPr>
        <w:widowControl/>
      </w:pPr>
      <w:r>
        <w:rPr>
          <w:rFonts w:ascii="Times New Roman" w:hAnsi="Times New Roman" w:eastAsia="Times New Roman" w:cs="Times New Roman"/>
          <w:b/>
          <w:color w:val="000000"/>
          <w:sz w:val="24"/>
        </w:rPr>
        <w:t>Author emails:</w:t>
      </w:r>
      <w:r>
        <w:rPr>
          <w:rFonts w:ascii="Times New Roman" w:hAnsi="Times New Roman" w:eastAsia="Times New Roman" w:cs="Times New Roman"/>
          <w:color w:val="000000"/>
          <w:sz w:val="24"/>
        </w:rPr>
        <w:t xml:space="preserve"> Alana Wai Han Kwan, 11281128alana@gmail.com; Joseph Yung, josephyung33@gmail.com</w:t>
      </w:r>
    </w:p>
    <w:p>
      <w:pPr>
        <w:pStyle w:val="Heading1"/>
        <w:widowControl/>
      </w:pPr>
      <w:r>
        <w:rPr>
          <w:rFonts w:ascii="Times New Roman" w:hAnsi="Times New Roman" w:eastAsia="Times New Roman" w:cs="Times New Roman"/>
          <w:color w:val="000000"/>
          <w:sz w:val="24"/>
        </w:rPr>
        <w:t>Competing interests</w:t>
      </w:r>
    </w:p>
    <w:p>
      <w:pPr>
        <w:widowControl/>
      </w:pPr>
      <w:r>
        <w:rPr>
          <w:rFonts w:ascii="Times New Roman" w:hAnsi="Times New Roman" w:eastAsia="Times New Roman" w:cs="Times New Roman"/>
          <w:color w:val="000000"/>
          <w:sz w:val="24"/>
        </w:rPr>
        <w:t>The authors have declared that no competing interests exist. No commercial entity funded, owned, or directed this analysis. Retrospective in-house assay files used only for supporting uncertainty diagnostics (Supporting Information) were academic research materials and conferred no financial interest.</w:t>
      </w:r>
    </w:p>
    <w:p>
      <w:pPr>
        <w:pStyle w:val="Heading1"/>
        <w:widowControl/>
      </w:pPr>
      <w:r>
        <w:rPr>
          <w:rFonts w:ascii="Times New Roman" w:hAnsi="Times New Roman" w:eastAsia="Times New Roman" w:cs="Times New Roman"/>
          <w:color w:val="000000"/>
          <w:sz w:val="24"/>
        </w:rPr>
        <w:t>Funding</w:t>
      </w:r>
    </w:p>
    <w:p>
      <w:pPr>
        <w:widowControl/>
      </w:pPr>
      <w:r>
        <w:rPr>
          <w:rFonts w:ascii="Times New Roman" w:hAnsi="Times New Roman" w:eastAsia="Times New Roman" w:cs="Times New Roman"/>
          <w:color w:val="000000"/>
          <w:sz w:val="24"/>
        </w:rPr>
        <w:t>This work received no specific grant from any funding agency in the public, commercial, or not-for-profit sectors. Computational resources were provided by the authors’ academic affiliations.</w:t>
      </w:r>
    </w:p>
    <w:p>
      <w:pPr>
        <w:pStyle w:val="Heading1"/>
        <w:widowControl/>
      </w:pPr>
      <w:r>
        <w:rPr>
          <w:rFonts w:ascii="Times New Roman" w:hAnsi="Times New Roman" w:eastAsia="Times New Roman" w:cs="Times New Roman"/>
          <w:color w:val="000000"/>
          <w:sz w:val="24"/>
        </w:rPr>
        <w:t>Ethics statement</w:t>
      </w:r>
    </w:p>
    <w:p>
      <w:pPr>
        <w:widowControl/>
      </w:pPr>
      <w:r>
        <w:rPr>
          <w:rFonts w:ascii="Times New Roman" w:hAnsi="Times New Roman" w:eastAsia="Times New Roman" w:cs="Times New Roman"/>
          <w:color w:val="000000"/>
          <w:sz w:val="24"/>
        </w:rPr>
        <w:t>All primary experiments were computer simulations on synthetic response surfaces. No new human participants, animals, cell lines, or biological specimens were generated for this study, and no institutional review board approval was required for the synthetic benchmark. Retrospective in-house assay files used in supporting diagnostics were previously collected academic materials; no new human or animal sampling was performed for this manuscript.</w:t>
      </w:r>
    </w:p>
    <w:p>
      <w:r>
        <w:br w:type="page"/>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When a cell-culture or bioprocess campaign has a fixed well budget, the end goal may be one best recipe or a trustworthy set of settings that still clear a threshold. Those are different jobs, so which experimental method looks best can change with the job. We compared SPADE (Synthetic Posterior Abstaining Design for Excursions)—a workflow built to return a conservative “good enough” operating region and to abstain when evidence is weak—with noisy Bayesian optimization (qLogNEI) and classical response-surface design of experiments (DoE) on shared synthetic test surfaces under a common 48-well budget. The main conclusion is decision-specific: on this benchmark SPADE is preferable when the deliverable is a trusted operating region, not when the deliverable is a single optimized recipe. At matched five feedback rounds, SPADE’s returned regions were larger on average than qLogNEI’s (mean certified volume 0.000864 versus 0.000009, about 92-fold; difference +0.000855, 95% CI [+0.000691, +0.001028], p &lt; 0.000125; n = 320 paired contrasts). Certified volume is the fraction of a fixed 2,000-point scoring grid inside the region the method calls acceptable (one grid point equals 0.0005 of volume). At prevalence 0.30, every region SPADE returned contained truth (66/66 answered), whereas DoE answered more often but issued many incorrect regions (screened 85/122 contained among answers; unscreened 77/134); counting every campaign, contained totals were 66/160 for SPADE versus 85/160 and 77/160 for the DoE arms. That pattern fits an asymmetric loss in which a false certified region is costlier than abstention. By contrast, screened three-round DoE found better point recipes (+0.1026 SPADE-minus-DoE regret), and five-round SPADE showed no detectable regret difference from ten-round qLogNEI (−0.0005, 95% CI [−0.0221, +0.0207], p = 0.96; n = 160) without establishing equivalence. Results are limited to these synthetic surfaces, moderate noise, and finite grids; they do not establish wet-lab or regulatory performance.</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Cell-culture media, extracellular-matrix composition, and bioprocess parameters are chosen jointly, so even a modest factor grid can exceed a practical assay budget. Classical response-surface methodology provides screening, sequential movement, and low-order local modelling [1–3]. Bayesian optimization (BO) instead fits a probabilistic surrogate and allocates observations to improve an objective [4–6]. Both approaches are used in biological and bioprocess development [7–12].</w:t>
      </w:r>
    </w:p>
    <w:p>
      <w:pPr>
        <w:widowControl/>
      </w:pPr>
      <w:r>
        <w:rPr>
          <w:rFonts w:ascii="Times New Roman" w:hAnsi="Times New Roman" w:eastAsia="Times New Roman" w:cs="Times New Roman"/>
          <w:color w:val="000000"/>
          <w:sz w:val="24"/>
        </w:rPr>
        <w:t>The decision made after sampling matters as much as the sampling rule. One laboratory may need a single carry-forward recipe, appropriately scored by point regret. Another may need an operating region: a set of compositions expected to exceed a specification, with an explicit option to abstain when the evidence is insufficient. A method can find a strong point while learning little about the surrounding region, or map a region without finding the global optimum. Point regret, map error, answer rate, empirical truth containment, and certified volume are therefore distinct estimands.</w:t>
      </w:r>
    </w:p>
    <w:p>
      <w:pPr>
        <w:widowControl/>
      </w:pPr>
      <w:r>
        <w:rPr>
          <w:rFonts w:ascii="Times New Roman" w:hAnsi="Times New Roman" w:eastAsia="Times New Roman" w:cs="Times New Roman"/>
          <w:color w:val="000000"/>
          <w:sz w:val="24"/>
        </w:rPr>
        <w:t>Region estimation is not new. Gaussian-process (GP) level-set classification and boundary-focused batch sampling are established [13], as are conservative excursion-set estimators based on posterior inclusion [14] and methods such as TruVaR that connect optimization with level-set learning [15]. qLogNEI is a modern noisy expected-improvement method [16]. Proper scoring separates probabilistic forecasts from downstream decisions [17], while BoTorch supplies established computational components [18]. Recent synthetic batch-BO work further shows that noise and geometry can alter rankings [19], and good simulation-study practice requires explicit estimands and data-generating scope [20].</w:t>
      </w:r>
    </w:p>
    <w:p>
      <w:pPr>
        <w:widowControl/>
      </w:pPr>
      <w:r>
        <w:rPr>
          <w:rFonts w:ascii="Times New Roman" w:hAnsi="Times New Roman" w:eastAsia="Times New Roman" w:cs="Times New Roman"/>
          <w:color w:val="000000"/>
          <w:sz w:val="24"/>
        </w:rPr>
        <w:t>SPADE (Synthetic Posterior Abstaining Design for Excursions) is an assay-oriented architecture built from these established ingredients, not a new excursion-set theory. It combines a space-filling opening, adaptive high-response sampling, a common posterior conservative-set estimator that can also score comparator observations, and abstention. Its acquisition should not be described as successfully threshold-targeted: a registered target-aligned variant failed its adoption gate. The scientific question is instead whether this architecture improves the tested regional decision while honestly retaining point-optimization trade-offs.</w:t>
      </w:r>
    </w:p>
    <w:p>
      <w:pPr>
        <w:widowControl/>
      </w:pPr>
      <w:r>
        <w:rPr>
          <w:rFonts w:ascii="Times New Roman" w:hAnsi="Times New Roman" w:eastAsia="Times New Roman" w:cs="Times New Roman"/>
          <w:color w:val="000000"/>
          <w:sz w:val="24"/>
        </w:rPr>
        <w:t>We report linked findings labeled C1–C6 and S1–S3. C3 asks whether matched five-round SPADE returns greater certified volume than qLogNEI. C1 asks whether five-round SPADE differs detectably from ten-round qLogNEI on point regret. C2 compares regional containment and point regret with one screened and one unscreened response-surface DoE pipeline. C4 asks whether three-round SPADE improves point regret relative to one-shot Latin hypercube sampling. C5 and C6 examine family/prevalence scope. Supporting analyses S2 and S3 diagnose real-data posterior collapse and assay-specific calibration (reported as supporting information summaries). Finally, S1, a real-noise ceiling, and a later development gate that selected no protocol define where positive interpretation must stop.</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roles</w:t>
      </w:r>
    </w:p>
    <w:p>
      <w:pPr>
        <w:widowControl/>
      </w:pPr>
      <w:r>
        <w:rPr>
          <w:rFonts w:ascii="Times New Roman" w:hAnsi="Times New Roman" w:eastAsia="Times New Roman" w:cs="Times New Roman"/>
          <w:color w:val="000000"/>
          <w:sz w:val="24"/>
        </w:rPr>
        <w:t>The confirmatory DC and LC programs used five synthetic response families—Ackley, Hartmann6, biphasic Hill, Levy, and Rosenbrock—32 deterministic seeds per family, six normalized factors, 48 measured wells, and relative observation noise 0.25. TAU used 64 seeds per family. Hill varied by registered instance; other evaluators used fixed landscapes with design and noise varying by seed. Known latent truth was used only for synthetic scoring. These landscapes are structural test functions, not fits to endothelial-cell measurements.</w:t>
      </w:r>
    </w:p>
    <w:p>
      <w:pPr>
        <w:widowControl/>
      </w:pPr>
      <w:r>
        <w:rPr>
          <w:rFonts w:ascii="Times New Roman" w:hAnsi="Times New Roman" w:eastAsia="Times New Roman" w:cs="Times New Roman"/>
          <w:color w:val="000000"/>
          <w:sz w:val="24"/>
        </w:rPr>
        <w:t xml:space="preserve">For latent normalized response </w:t>
      </w:r>
      <m:oMath>
        <m:box>
          <m:e>
            <m:r>
              <m:rPr>
                <m:sty m:val="i"/>
              </m:rPr>
              <m:t>f</m:t>
            </m:r>
            <m:r>
              <m:rPr>
                <m:sty m:val="p"/>
              </m:rPr>
              <m:t>(</m:t>
            </m:r>
            <m:r>
              <m:rPr>
                <m:sty m:val="i"/>
              </m:rPr>
              <m:t>x</m:t>
            </m:r>
            <m:r>
              <m:rPr>
                <m:sty m:val="p"/>
              </m:rPr>
              <m:t>)</m:t>
            </m:r>
          </m:e>
        </m:box>
      </m:oMath>
      <w:r>
        <w:rPr>
          <w:rFonts w:ascii="Times New Roman" w:hAnsi="Times New Roman" w:eastAsia="Times New Roman" w:cs="Times New Roman"/>
          <w:color w:val="000000"/>
          <w:sz w:val="24"/>
        </w:rPr>
        <w:t xml:space="preserve"> on </w:t>
      </w:r>
      <m:oMath>
        <m:box>
          <m:e>
            <m:r>
              <m:rPr>
                <m:sty m:val="i"/>
              </m:rPr>
              <m:t>x</m:t>
            </m:r>
            <m:r>
              <m:rPr>
                <m:sty m:val="p"/>
              </m:rPr>
              <m:t>∈</m:t>
            </m:r>
            <m:r>
              <m:rPr>
                <m:sty m:val="p"/>
              </m:rPr>
              <m:t>[</m:t>
            </m:r>
            <m:r>
              <m:rPr>
                <m:sty m:val="p"/>
              </m:rPr>
              <m:t>0</m:t>
            </m:r>
            <m:r>
              <m:rPr>
                <m:sty m:val="p"/>
              </m:rPr>
              <m:t>,</m:t>
            </m:r>
            <m:r>
              <m:rPr>
                <m:sty m:val="p"/>
              </m:rPr>
              <m:t>1</m:t>
            </m:r>
            <m:sSup>
              <m:e>
                <m:r>
                  <m:rPr>
                    <m:sty m:val="p"/>
                  </m:rPr>
                  <m:t>]</m:t>
                </m:r>
              </m:e>
              <m:sup>
                <m:r>
                  <m:rPr>
                    <m:sty m:val="p"/>
                  </m:rPr>
                  <m:t>6</m:t>
                </m:r>
              </m:sup>
            </m:sSup>
          </m:e>
        </m:box>
      </m:oMath>
      <w:r>
        <w:rPr>
          <w:rFonts w:ascii="Times New Roman" w:hAnsi="Times New Roman" w:eastAsia="Times New Roman" w:cs="Times New Roman"/>
          <w:color w:val="000000"/>
          <w:sz w:val="24"/>
        </w:rPr>
        <w:t xml:space="preserve">, the threshold </w:t>
      </w:r>
      <m:oMath>
        <m:box>
          <m:e>
            <m:r>
              <m:rPr>
                <m:sty m:val="i"/>
              </m:rPr>
              <m:t>τ</m:t>
            </m:r>
          </m:e>
        </m:box>
      </m:oMath>
      <w:r>
        <w:rPr>
          <w:rFonts w:ascii="Times New Roman" w:hAnsi="Times New Roman" w:eastAsia="Times New Roman" w:cs="Times New Roman"/>
          <w:color w:val="000000"/>
          <w:sz w:val="24"/>
        </w:rPr>
        <w:t xml:space="preserve"> was the instance-specific truth quantile that produced the registered target prevalence </w:t>
      </w:r>
      <m:oMath>
        <m:box>
          <m:e>
            <m:r>
              <m:rPr>
                <m:sty m:val="i"/>
              </m:rPr>
              <m:t>p</m:t>
            </m:r>
          </m:e>
        </m:box>
      </m:oMath>
      <w:r>
        <w:rPr>
          <w:rFonts w:ascii="Times New Roman" w:hAnsi="Times New Roman" w:eastAsia="Times New Roman" w:cs="Times New Roman"/>
          <w:color w:val="000000"/>
          <w:sz w:val="24"/>
        </w:rPr>
        <w:t xml:space="preserve">. The acceptable region was </w:t>
      </w:r>
      <m:oMath>
        <m:box>
          <m:e>
            <m:sSub>
              <m:e>
                <m:r>
                  <m:rPr>
                    <m:sty m:val="i"/>
                  </m:rPr>
                  <m:t>Γ</m:t>
                </m:r>
              </m:e>
              <m:sub>
                <m:r>
                  <m:rPr>
                    <m:sty m:val="i"/>
                  </m:rPr>
                  <m:t>τ</m:t>
                </m:r>
              </m:sub>
            </m:sSub>
            <m:r>
              <m:rPr>
                <m:sty m:val="p"/>
              </m:rPr>
              <m:t>=</m:t>
            </m:r>
            <m:r>
              <m:rPr>
                <m:sty m:val="p"/>
              </m:rPr>
              <m:t>{</m:t>
            </m:r>
            <m:r>
              <m:rPr>
                <m:sty m:val="i"/>
              </m:rPr>
              <m:t>x</m:t>
            </m:r>
            <m:r>
              <m:rPr>
                <m:sty m:val="i"/>
              </m:rPr>
              <m:t>:</m:t>
            </m:r>
            <m:r>
              <m:rPr>
                <m:sty m:val="i"/>
              </m:rPr>
              <m:t>f</m:t>
            </m:r>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Thresholds were computed on a 20,000-point Sobol truth grid with seed 0. A 2,000-point Sobol certificate-candidate and scoring subset at the same seed was used for posterior-region construction and truth-containment scoring. Each certificate used 4,096 joint posterior draws and 64 nested Vorob'ev levels.</w:t>
      </w:r>
    </w:p>
    <w:p>
      <w:pPr>
        <w:widowControl/>
      </w:pPr>
      <w:r>
        <w:rPr>
          <w:rFonts w:ascii="Times New Roman" w:hAnsi="Times New Roman" w:eastAsia="Times New Roman" w:cs="Times New Roman"/>
          <w:color w:val="000000"/>
          <w:sz w:val="24"/>
        </w:rPr>
        <w:t>DC supplied the one-process point comparison (C1) and DoE comparison (C2). LC supplied the leave-one-family-out matched-round comparison (C3). TAU supplied the prevalence and margin-to-noise analyses (C5/C6). TT tested the proposed targeting mechanism (S1). Retrospective in-house and published Hall–Ogle data supplied supporting uncertainty diagnostics (S2/S3), not prospective validation.</w:t>
      </w:r>
    </w:p>
    <w:p>
      <w:pPr>
        <w:widowControl/>
      </w:pPr>
      <w:r>
        <w:rPr>
          <w:rFonts w:ascii="Times New Roman" w:hAnsi="Times New Roman" w:eastAsia="Times New Roman" w:cs="Times New Roman"/>
          <w:color w:val="000000"/>
          <w:sz w:val="24"/>
        </w:rPr>
        <w:t>All synthetic arms used 48 wells. SPADE at three rounds used an opening of 32 followed by two batches of 8; SPADE at five rounds used an opening of 16 followed by four batches of 8. Matched qLogNEI R3 and R5 used the same respective allocations. qLogNEI R10 used a 14-point Sobol opening, eight batches of four, and a final batch of two. The screened DoE R3 workflow used a 20-run six-factor screen, a 27-run four-factor face-centred response-surface design, and one confirmation well. The registered unscreened comparator omitted screening, used one 47-run full-dimensional face-centred central-composite design, and measured one confirmation well; it retained the protocol's DoE R3 comparator label even though its executed measurements comprise design and confirmation stages. Equal wells therefore did not mean equal sequential rounds.</w:t>
      </w:r>
    </w:p>
    <w:p>
      <w:pPr>
        <w:keepLines/>
        <w:spacing w:before="0" w:after="120" w:line="240" w:lineRule="auto"/>
      </w:pPr>
      <w:r>
        <w:rPr>
          <w:rFonts w:ascii="Times New Roman" w:hAnsi="Times New Roman" w:eastAsia="Times New Roman" w:cs="Times New Roman"/>
          <w:b/>
          <w:color w:val="000000"/>
          <w:sz w:val="20"/>
        </w:rPr>
        <w:t>Fig 1. Study design under a fixed 48-well budget. (A) Every arm uses the same 48-well campaign; the method chooses round structure and the terminal return. (B) The campaign is scored as a point-recipe decision (simple regret) and/or an operating-region decision (certified volume, containment, or abstention). (C) Comparators in this study: SPADE (region-first), qLogNEI (noisy Bayesian optimization), and DoE response-surface pipelines. This schematic defines the benchmark and contains no performance result.</w:t>
      </w:r>
      <w:r>
        <w:rPr>
          <w:rFonts w:ascii="Times New Roman" w:hAnsi="Times New Roman" w:eastAsia="Times New Roman" w:cs="Times New Roman"/>
          <w:color w:val="000000"/>
          <w:sz w:val="20"/>
        </w:rPr>
        <w:t xml:space="preserve"> (A) Choose SPADE when the campaign must return a trusted operating region with honest abstention. (B) Choose a point optimizer (DoE or Bayesian optimization) when only one carry-forward recipe is required. (C) Under very high assay-like noise, abstain and replicate rather than claiming a region. This schematic defines the decision framing and contains no performance result.</w:t>
      </w:r>
    </w:p>
    <w:p>
      <w:pPr>
        <w:pStyle w:val="Heading2"/>
        <w:widowControl/>
      </w:pPr>
      <w:r>
        <w:rPr>
          <w:rFonts w:ascii="Times New Roman" w:hAnsi="Times New Roman" w:eastAsia="Times New Roman" w:cs="Times New Roman"/>
          <w:color w:val="000000"/>
          <w:sz w:val="24"/>
        </w:rPr>
        <w:t>SPADE architecture and comparators</w:t>
      </w:r>
    </w:p>
    <w:p>
      <w:pPr>
        <w:widowControl/>
      </w:pPr>
      <w:r>
        <w:rPr>
          <w:rFonts w:ascii="Times New Roman" w:hAnsi="Times New Roman" w:eastAsia="Times New Roman" w:cs="Times New Roman"/>
          <w:color w:val="000000"/>
          <w:sz w:val="24"/>
        </w:rPr>
        <w:t xml:space="preserve">Observations followed </w:t>
      </w:r>
      <m:oMath>
        <m:box>
          <m:e>
            <m:r>
              <m:rPr>
                <m:sty m:val="i"/>
              </m:rPr>
              <m:t>y</m:t>
            </m:r>
            <m:r>
              <m:rPr>
                <m:sty m:val="p"/>
              </m:rPr>
              <m:t>(</m:t>
            </m:r>
            <m:r>
              <m:rPr>
                <m:sty m:val="i"/>
              </m:rPr>
              <m:t>x</m:t>
            </m:r>
            <m:r>
              <m:rPr>
                <m:sty m:val="p"/>
              </m:rPr>
              <m:t>)</m:t>
            </m:r>
            <m:r>
              <m:rPr>
                <m:sty m:val="p"/>
              </m:rPr>
              <m:t>=</m:t>
            </m:r>
            <m:r>
              <m:rPr>
                <m:sty m:val="i"/>
              </m:rPr>
              <m:t>f</m:t>
            </m:r>
            <m:r>
              <m:rPr>
                <m:sty m:val="p"/>
              </m:rPr>
              <m:t>(</m:t>
            </m:r>
            <m:r>
              <m:rPr>
                <m:sty m:val="i"/>
              </m:rPr>
              <m:t>x</m:t>
            </m:r>
            <m:r>
              <m:rPr>
                <m:sty m:val="p"/>
              </m:rPr>
              <m:t>)</m:t>
            </m:r>
            <m:r>
              <m:rPr>
                <m:sty m:val="p"/>
              </m:rPr>
              <m:t>(</m:t>
            </m:r>
            <m:r>
              <m:rPr>
                <m:sty m:val="p"/>
              </m:rPr>
              <m:t>1</m:t>
            </m:r>
            <m:r>
              <m:rPr>
                <m:sty m:val="p"/>
              </m:rPr>
              <m:t>+</m:t>
            </m:r>
            <m:r>
              <m:rPr>
                <m:sty m:val="i"/>
              </m:rPr>
              <m:t>ϵ</m:t>
            </m:r>
            <m:r>
              <m:rPr>
                <m:sty m:val="p"/>
              </m:rPr>
              <m:t>)</m:t>
            </m:r>
            <m:r>
              <m:rPr>
                <m:sty m:val="p"/>
              </m:rPr>
              <m:t>+</m:t>
            </m:r>
            <m:r>
              <m:rPr>
                <m:sty m:val="i"/>
              </m:rPr>
              <m:t>η</m:t>
            </m:r>
          </m:e>
        </m:box>
      </m:oMath>
      <w:r>
        <w:rPr>
          <w:rFonts w:ascii="Times New Roman" w:hAnsi="Times New Roman" w:eastAsia="Times New Roman" w:cs="Times New Roman"/>
          <w:color w:val="000000"/>
          <w:sz w:val="24"/>
        </w:rPr>
        <w:t xml:space="preserve">, with </w:t>
      </w:r>
      <m:oMath>
        <m:box>
          <m:e>
            <m:r>
              <m:rPr>
                <m:sty m:val="i"/>
              </m:rPr>
              <m:t>ϵ</m:t>
            </m:r>
            <m:r>
              <m:rPr>
                <m:sty m:val="i"/>
              </m:rPr>
              <m:t>~</m:t>
            </m:r>
            <m:r>
              <m:rPr>
                <m:scr m:val="script"/>
                <m:sty m:val="i"/>
              </m:rPr>
              <m:t>N</m:t>
            </m:r>
            <m:r>
              <m:rPr>
                <m:sty m:val="p"/>
              </m:rPr>
              <m:t>(</m:t>
            </m:r>
            <m:r>
              <m:rPr>
                <m:sty m:val="p"/>
              </m:rPr>
              <m:t>0</m:t>
            </m:r>
            <m:r>
              <m:rPr>
                <m:sty m:val="p"/>
              </m:rPr>
              <m:t>,</m:t>
            </m:r>
            <m:sSubSup>
              <m:e>
                <m:r>
                  <m:rPr>
                    <m:sty m:val="i"/>
                  </m:rPr>
                  <m:t>σ</m:t>
                </m:r>
              </m:e>
              <m:sub>
                <m:box>
                  <m:e>
                    <m:r>
                      <m:rPr>
                        <m:sty m:val="p"/>
                      </m:rPr>
                      <m:t>rel</m:t>
                    </m:r>
                  </m:e>
                </m:box>
              </m:sub>
              <m:sup>
                <m:r>
                  <m:rPr>
                    <m:sty m:val="p"/>
                  </m:rPr>
                  <m:t>2</m:t>
                </m:r>
              </m:sup>
            </m:sSubSup>
            <m:r>
              <m:rPr>
                <m:sty m:val="p"/>
              </m:rPr>
              <m:t>)</m:t>
            </m:r>
          </m:e>
        </m:box>
      </m:oMath>
      <w:r>
        <w:rPr>
          <w:rFonts w:ascii="Times New Roman" w:hAnsi="Times New Roman" w:eastAsia="Times New Roman" w:cs="Times New Roman"/>
          <w:color w:val="000000"/>
          <w:sz w:val="24"/>
        </w:rPr>
        <w:t xml:space="preserve">, </w:t>
      </w:r>
      <m:oMath>
        <m:box>
          <m:e>
            <m:sSub>
              <m:e>
                <m:r>
                  <m:rPr>
                    <m:sty m:val="i"/>
                  </m:rPr>
                  <m:t>σ</m:t>
                </m:r>
              </m:e>
              <m:sub>
                <m:box>
                  <m:e>
                    <m:r>
                      <m:rPr>
                        <m:sty m:val="p"/>
                      </m:rPr>
                      <m:t>rel</m:t>
                    </m:r>
                  </m:e>
                </m:box>
              </m:sub>
            </m:sSub>
            <m:r>
              <m:rPr>
                <m:sty m:val="p"/>
              </m:rPr>
              <m:t>=</m:t>
            </m:r>
            <m:r>
              <m:rPr>
                <m:sty m:val="p"/>
              </m:rPr>
              <m:t>0.25</m:t>
            </m:r>
          </m:e>
        </m:box>
      </m:oMath>
      <w:r>
        <w:rPr>
          <w:rFonts w:ascii="Times New Roman" w:hAnsi="Times New Roman" w:eastAsia="Times New Roman" w:cs="Times New Roman"/>
          <w:color w:val="000000"/>
          <w:sz w:val="24"/>
        </w:rPr>
        <w:t xml:space="preserve">, and </w:t>
      </w:r>
      <m:oMath>
        <m:box>
          <m:e>
            <m:r>
              <m:rPr>
                <m:sty m:val="i"/>
              </m:rPr>
              <m:t>η</m:t>
            </m:r>
            <m:r>
              <m:rPr>
                <m:sty m:val="i"/>
              </m:rPr>
              <m:t>~</m:t>
            </m:r>
            <m:r>
              <m:rPr>
                <m:scr m:val="script"/>
                <m:sty m:val="i"/>
              </m:rPr>
              <m:t>N</m:t>
            </m:r>
            <m:r>
              <m:rPr>
                <m:sty m:val="p"/>
              </m:rPr>
              <m:t>(</m:t>
            </m:r>
            <m:r>
              <m:rPr>
                <m:sty m:val="p"/>
              </m:rPr>
              <m:t>0</m:t>
            </m:r>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SPADE and qLogNEI supplied the GP with the raw-unit plug-in variance </w:t>
      </w:r>
      <m:oMath>
        <m:box>
          <m:e>
            <m:r>
              <m:rPr>
                <m:sty m:val="p"/>
              </m:rPr>
              <m:t>max</m:t>
            </m:r>
            <m:r>
              <m:rPr>
                <m:sty m:val="p"/>
              </m:rPr>
              <m:t>(</m:t>
            </m:r>
            <m:sSup>
              <m:e>
                <m:r>
                  <m:rPr>
                    <m:sty m:val="i"/>
                  </m:rPr>
                  <m:t>y</m:t>
                </m:r>
              </m:e>
              <m:sup>
                <m:r>
                  <m:rPr>
                    <m:sty m:val="p"/>
                  </m:rPr>
                  <m:t>2</m:t>
                </m:r>
              </m:sup>
            </m:sSup>
            <m:sSubSup>
              <m:e>
                <m:r>
                  <m:rPr>
                    <m:sty m:val="i"/>
                  </m:rPr>
                  <m:t>σ</m:t>
                </m:r>
              </m:e>
              <m:sub>
                <m:box>
                  <m:e>
                    <m:r>
                      <m:rPr>
                        <m:sty m:val="p"/>
                      </m:rPr>
                      <m:t>rel</m:t>
                    </m:r>
                  </m:e>
                </m:box>
              </m:sub>
              <m:sup>
                <m:r>
                  <m:rPr>
                    <m:sty m:val="p"/>
                  </m:rPr>
                  <m:t>2</m:t>
                </m:r>
              </m:sup>
            </m:sSubSup>
            <m:r>
              <m:rPr>
                <m:sty m:val="p"/>
              </m:rPr>
              <m:t>+</m:t>
            </m:r>
            <m:sSup>
              <m:e>
                <m:r>
                  <m:rPr>
                    <m:sty m:val="p"/>
                  </m:rPr>
                  <m:t>0.01</m:t>
                </m:r>
              </m:e>
              <m:sup>
                <m:r>
                  <m:rPr>
                    <m:sty m:val="p"/>
                  </m:rPr>
                  <m:t>2</m:t>
                </m:r>
              </m:sup>
            </m:sSup>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computed from the observed value rather than latent truth. The DoE adapters lacked per-well variances and used their registered arm-constant plug-in </w:t>
      </w:r>
      <m:oMath>
        <m:box>
          <m:e>
            <m:sSubSup>
              <m:e>
                <m:r>
                  <m:rPr>
                    <m:sty m:val="i"/>
                  </m:rPr>
                  <m:t>σ</m:t>
                </m:r>
              </m:e>
              <m:sub>
                <m:box>
                  <m:e>
                    <m:r>
                      <m:rPr>
                        <m:sty m:val="p"/>
                      </m:rPr>
                      <m:t>rel</m:t>
                    </m:r>
                  </m:e>
                </m:box>
              </m:sub>
              <m:sup>
                <m:r>
                  <m:rPr>
                    <m:sty m:val="p"/>
                  </m:rPr>
                  <m:t>2</m:t>
                </m:r>
              </m:sup>
            </m:sSubSup>
            <m:sSup>
              <m:e>
                <m:limUpp>
                  <m:e>
                    <m:box>
                      <m:e>
                        <m:r>
                          <m:rPr>
                            <m:sty m:val="p"/>
                          </m:rPr>
                          <m:t>|</m:t>
                        </m:r>
                        <m:r>
                          <m:rPr>
                            <m:sty m:val="i"/>
                          </m:rPr>
                          <m:t>y</m:t>
                        </m:r>
                        <m:r>
                          <m:rPr>
                            <m:sty m:val="p"/>
                          </m:rPr>
                          <m:t>|</m:t>
                        </m:r>
                      </m:e>
                    </m:box>
                  </m:e>
                  <m:lim>
                    <m:r>
                      <m:rPr>
                        <m:sty m:val="p"/>
                      </m:rPr>
                      <m:t>―</m:t>
                    </m:r>
                  </m:lim>
                </m:limUpp>
              </m:e>
              <m:sup>
                <m:r>
                  <m:rPr>
                    <m:sty m:val="p"/>
                  </m:rPr>
                  <m:t>2</m:t>
                </m:r>
              </m:sup>
            </m:sSup>
          </m:e>
        </m:box>
      </m:oMath>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color w:val="000000"/>
          <w:sz w:val="24"/>
        </w:rPr>
        <w:t xml:space="preserve">The common outcome model was a fixed-noise </w:t>
      </w:r>
      <w:r>
        <w:rPr>
          <w:rFonts w:ascii="Times New Roman" w:hAnsi="Times New Roman" w:eastAsia="Times New Roman" w:cs="Times New Roman"/>
          <w:i/>
          <w:color w:val="000000"/>
          <w:sz w:val="24"/>
        </w:rPr>
        <w:t>SingleTaskGP</w:t>
      </w:r>
      <w:r>
        <w:rPr>
          <w:rFonts w:ascii="Times New Roman" w:hAnsi="Times New Roman" w:eastAsia="Times New Roman" w:cs="Times New Roman"/>
          <w:color w:val="000000"/>
          <w:sz w:val="24"/>
        </w:rPr>
        <w:t xml:space="preserve"> with explicit unit-box input normalization, standardized outcomes, a fitted constant mean, and a scaled Matérn-5/2 kernel with automatic relevance determination and a dimension-scaled length-scale prior. Hyperparameters were fitted by exact marginal likelihood. SPADE began with the Sobol space-filling opening, refitted after every later batch, and used its registered conservative-set straddle implementation for adaptive high-response sampling. The implemented historical acquisition is retained because the target-aligned replacement did not demonstrate improvement or earn adoption and worsened regret; no claim here attributes the results to successful threshold targeting.</w:t>
      </w:r>
    </w:p>
    <w:p>
      <w:pPr>
        <w:widowControl/>
      </w:pPr>
      <w:r>
        <w:rPr>
          <w:rFonts w:ascii="Times New Roman" w:hAnsi="Times New Roman" w:eastAsia="Times New Roman" w:cs="Times New Roman"/>
          <w:color w:val="000000"/>
          <w:sz w:val="24"/>
        </w:rPr>
        <w:t xml:space="preserve">For posterior draw </w:t>
      </w:r>
      <m:oMath>
        <m:box>
          <m:e>
            <m:r>
              <m:rPr>
                <m:sty m:val="i"/>
              </m:rPr>
              <m:t>b</m:t>
            </m:r>
          </m:e>
        </m:box>
      </m:oMath>
      <w:r>
        <w:rPr>
          <w:rFonts w:ascii="Times New Roman" w:hAnsi="Times New Roman" w:eastAsia="Times New Roman" w:cs="Times New Roman"/>
          <w:color w:val="000000"/>
          <w:sz w:val="24"/>
        </w:rPr>
        <w:t xml:space="preserve">, the finite-grid excursion set was </w:t>
      </w:r>
      <m:oMath>
        <m:box>
          <m:e>
            <m:sSubSup>
              <m:e>
                <m:r>
                  <m:rPr>
                    <m:sty m:val="i"/>
                  </m:rPr>
                  <m:t>Γ</m:t>
                </m:r>
              </m:e>
              <m:sub>
                <m:r>
                  <m:rPr>
                    <m:sty m:val="i"/>
                  </m:rPr>
                  <m:t>τ</m:t>
                </m:r>
              </m:sub>
              <m:sup>
                <m:box>
                  <m:e>
                    <m:r>
                      <m:rPr>
                        <m:sty m:val="p"/>
                      </m:rPr>
                      <m:t>(</m:t>
                    </m:r>
                    <m:r>
                      <m:rPr>
                        <m:sty m:val="i"/>
                      </m:rPr>
                      <m:t>b</m:t>
                    </m:r>
                    <m:r>
                      <m:rPr>
                        <m:sty m:val="p"/>
                      </m:rPr>
                      <m:t>)</m:t>
                    </m:r>
                  </m:e>
                </m:box>
              </m:sup>
            </m:sSubSup>
            <m:r>
              <m:rPr>
                <m:sty m:val="p"/>
              </m:rPr>
              <m:t>=</m:t>
            </m:r>
            <m:r>
              <m:rPr>
                <m:sty m:val="p"/>
              </m:rPr>
              <m:t>{</m:t>
            </m:r>
            <m:r>
              <m:rPr>
                <m:sty m:val="i"/>
              </m:rPr>
              <m:t>x</m:t>
            </m:r>
            <m:r>
              <m:rPr>
                <m:sty m:val="i"/>
              </m:rPr>
              <m:t>:</m:t>
            </m:r>
            <m:sSup>
              <m:e>
                <m:r>
                  <m:rPr>
                    <m:sty m:val="i"/>
                  </m:rPr>
                  <m:t>f</m:t>
                </m:r>
              </m:e>
              <m:sup>
                <m:box>
                  <m:e>
                    <m:r>
                      <m:rPr>
                        <m:sty m:val="p"/>
                      </m:rPr>
                      <m:t>(</m:t>
                    </m:r>
                    <m:r>
                      <m:rPr>
                        <m:sty m:val="i"/>
                      </m:rPr>
                      <m:t>b</m:t>
                    </m:r>
                    <m:r>
                      <m:rPr>
                        <m:sty m:val="p"/>
                      </m:rPr>
                      <m:t>)</m:t>
                    </m:r>
                  </m:e>
                </m:box>
              </m:sup>
            </m:sSup>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xml:space="preserve"> on the 2,000-point scoring grid. The 4,096 draws formed a coverage function and 64 nested Vorob'ev candidates. For each inflation </w:t>
      </w:r>
      <m:oMath>
        <m:box>
          <m:e>
            <m:r>
              <m:rPr>
                <m:sty m:val="i"/>
              </m:rPr>
              <m:t>c</m:t>
            </m:r>
            <m:r>
              <m:rPr>
                <m:sty m:val="p"/>
              </m:rPr>
              <m:t>∈</m:t>
            </m:r>
            <m:r>
              <m:rPr>
                <m:sty m:val="p"/>
              </m:rPr>
              <m:t>{</m:t>
            </m:r>
            <m:r>
              <m:rPr>
                <m:sty m:val="p"/>
              </m:rPr>
              <m:t>1.0</m:t>
            </m:r>
            <m:r>
              <m:rPr>
                <m:sty m:val="p"/>
              </m:rPr>
              <m:t>,</m:t>
            </m:r>
            <m:r>
              <m:rPr>
                <m:sty m:val="p"/>
              </m:rPr>
              <m:t>1.5</m:t>
            </m:r>
            <m:r>
              <m:rPr>
                <m:sty m:val="p"/>
              </m:rPr>
              <m:t>,</m:t>
            </m:r>
            <m:r>
              <m:rPr>
                <m:sty m:val="p"/>
              </m:rPr>
              <m:t>2.0</m:t>
            </m:r>
            <m:r>
              <m:rPr>
                <m:sty m:val="p"/>
              </m:rPr>
              <m:t>,</m:t>
            </m:r>
            <m:r>
              <m:rPr>
                <m:sty m:val="p"/>
              </m:rPr>
              <m:t>3.0</m:t>
            </m:r>
            <m:r>
              <m:rPr>
                <m:sty m:val="p"/>
              </m:rPr>
              <m:t>}</m:t>
            </m:r>
          </m:e>
        </m:box>
      </m:oMath>
      <w:r>
        <w:rPr>
          <w:rFonts w:ascii="Times New Roman" w:hAnsi="Times New Roman" w:eastAsia="Times New Roman" w:cs="Times New Roman"/>
          <w:color w:val="000000"/>
          <w:sz w:val="24"/>
        </w:rPr>
        <w:t>, the common downstream estimator returned the largest scanned candidate whose same-draw Monte Carlo posterior joint containment reached alpha=0.95. “Largest” means largest in that finite nested family, not a global optimum over all continuous subsets. If no non-empty candidate passed, the procedure abstained.</w:t>
      </w:r>
    </w:p>
    <w:p>
      <w:pPr>
        <w:widowControl/>
      </w:pPr>
      <w:r>
        <w:rPr>
          <w:rFonts w:ascii="Times New Roman" w:hAnsi="Times New Roman" w:eastAsia="Times New Roman" w:cs="Times New Roman"/>
          <w:color w:val="000000"/>
          <w:sz w:val="24"/>
        </w:rPr>
        <w:t>qLogNEI used the same GP outcome model and well budget while allocating batches by noisy expected improvement. Its observations were passed through the common posterior conservative-set estimator; regional certificates are therefore common post-processing, not an intrinsic qLogNEI output. Screened DoE used a 20-run six-factor screen, a 27-run face-centred response-surface design in four factors, and one confirmation well. The unscreened arm retained the low-order workflow without screening. These implementations do not represent all BO or classical-design methods.</w:t>
      </w:r>
    </w:p>
    <w:p>
      <w:pPr>
        <w:pStyle w:val="Heading2"/>
        <w:widowControl/>
      </w:pPr>
      <w:r>
        <w:rPr>
          <w:rFonts w:ascii="Times New Roman" w:hAnsi="Times New Roman" w:eastAsia="Times New Roman" w:cs="Times New Roman"/>
          <w:color w:val="000000"/>
          <w:sz w:val="24"/>
        </w:rPr>
        <w:t>Outcomes and calibration</w:t>
      </w:r>
    </w:p>
    <w:p>
      <w:pPr>
        <w:widowControl/>
      </w:pPr>
      <w:r>
        <w:rPr>
          <w:rFonts w:ascii="Times New Roman" w:hAnsi="Times New Roman" w:eastAsia="Times New Roman" w:cs="Times New Roman"/>
          <w:color w:val="000000"/>
          <w:sz w:val="24"/>
        </w:rPr>
        <w:t xml:space="preserve">The terminal point recommendation was the visited condition with the largest observed response; it was then scored by latent truth. Because each family was normalized to optimum one, simple regret was </w:t>
      </w:r>
      <m:oMath>
        <m:box>
          <m:e>
            <m:r>
              <m:rPr>
                <m:sty m:val="p"/>
              </m:rPr>
              <m:t>1</m:t>
            </m:r>
            <m:r>
              <m:rPr>
                <m:sty m:val="p"/>
              </m:rPr>
              <m:t>−</m:t>
            </m:r>
            <m:r>
              <m:rPr>
                <m:sty m:val="i"/>
              </m:rPr>
              <m:t>f</m:t>
            </m:r>
            <m:r>
              <m:rPr>
                <m:sty m:val="p"/>
              </m:rPr>
              <m:t>(</m:t>
            </m:r>
            <m:limUpp>
              <m:e>
                <m:r>
                  <m:rPr>
                    <m:sty m:val="i"/>
                  </m:rPr>
                  <m:t>x</m:t>
                </m:r>
              </m:e>
              <m:lim>
                <m:r>
                  <m:rPr>
                    <m:sty m:val="p"/>
                  </m:rPr>
                  <m:t>^</m:t>
                </m:r>
              </m:lim>
            </m:limUpp>
            <m:r>
              <m:rPr>
                <m:sty m:val="p"/>
              </m:rPr>
              <m:t>)</m:t>
            </m:r>
          </m:e>
        </m:box>
      </m:oMath>
      <w:r>
        <w:rPr>
          <w:rFonts w:ascii="Times New Roman" w:hAnsi="Times New Roman" w:eastAsia="Times New Roman" w:cs="Times New Roman"/>
          <w:color w:val="000000"/>
          <w:sz w:val="24"/>
        </w:rPr>
        <w:t>. This prevents crediting a method for visiting a strong point that its noisy observations did not identify.</w:t>
      </w:r>
    </w:p>
    <w:p>
      <w:pPr>
        <w:widowControl/>
      </w:pPr>
      <w:r>
        <w:rPr>
          <w:rFonts w:ascii="Times New Roman" w:hAnsi="Times New Roman" w:eastAsia="Times New Roman" w:cs="Times New Roman"/>
          <w:color w:val="000000"/>
          <w:sz w:val="24"/>
        </w:rPr>
        <w:t>A regional answered outcome was a non-empty returned conservative set. contained recorded whether an answered set was a subset of the known synthetic acceptable region; answer rate was answered divided by eligible cells, conditional empirical containment was contained divided by answered, and certified volume was the returned fraction of the 2,000-point scoring grid. Abstention was not counted as containment. The registered cross-cell gate required a one-sided 95% Clopper–Pearson lower bound of at least 0.90 among answered cells and answer rate of at least 0.05.</w:t>
      </w:r>
    </w:p>
    <w:p>
      <w:pPr>
        <w:widowControl/>
      </w:pPr>
      <w:r>
        <w:rPr>
          <w:rFonts w:ascii="Times New Roman" w:hAnsi="Times New Roman" w:eastAsia="Times New Roman" w:cs="Times New Roman"/>
          <w:color w:val="000000"/>
          <w:sz w:val="24"/>
        </w:rPr>
        <w:t>C3 selected the smallest posterior inflation c that passed the registered rule on four families and evaluated volume on the held-out fifth family. It pooled prevalence 0.30 and 0.10, yielding five families x 32 seeds x two prevalences = 320 dependent family-seed-prevalence cells. C2 used a weaker procedure: SPADE selected c=1 within the DC cells themselves. Neither DoE arm passed at any tested inflation, so its reported counts are fallback diagnostics at baseline c=1. C2 is within-sample and not transportable; it is not the held-out-family calibration used for C3.</w:t>
      </w:r>
    </w:p>
    <w:p>
      <w:pPr>
        <w:widowControl/>
      </w:pPr>
      <w:r>
        <w:rPr>
          <w:rFonts w:ascii="Times New Roman" w:hAnsi="Times New Roman" w:eastAsia="Times New Roman" w:cs="Times New Roman"/>
          <w:color w:val="000000"/>
          <w:sz w:val="24"/>
        </w:rPr>
        <w:t>Earlier prospective map scoring used a fixed 0.50 cutoff. Its archived certificate count is a posterior self-consistency check, not empirical containment against the oracle. The retrospective terminal-rule comparison also used a common GP for all arms: a 20,000-point screen, twenty restarts and 4,096 raw starts. Earlier quadratic response-surface diagnostics are separate and are not substituted for that recommender.</w:t>
      </w:r>
    </w:p>
    <w:p>
      <w:pPr>
        <w:pStyle w:val="Heading2"/>
        <w:widowControl/>
      </w:pPr>
      <w:r>
        <w:rPr>
          <w:rFonts w:ascii="Times New Roman" w:hAnsi="Times New Roman" w:eastAsia="Times New Roman" w:cs="Times New Roman"/>
          <w:color w:val="000000"/>
          <w:sz w:val="24"/>
        </w:rPr>
        <w:t>Statistical analysis</w:t>
      </w:r>
    </w:p>
    <w:p>
      <w:pPr>
        <w:widowControl/>
      </w:pPr>
      <w:r>
        <w:rPr>
          <w:rFonts w:ascii="Times New Roman" w:hAnsi="Times New Roman" w:eastAsia="Times New Roman" w:cs="Times New Roman"/>
          <w:color w:val="000000"/>
          <w:sz w:val="24"/>
        </w:rPr>
        <w:t>Contrasts were paired by family and seed or by family, seed, and prevalence. Frozen analysers used 8,000 ordinary nonparametric resamples of flat contrast rows, percentile intervals, and two-sided bootstrap tail-area proportions relative to zero. With 8,000 resamples the finest non-zero two-sided tail probability that can be reported is 1/8,000 = 0.000125; we therefore write p &lt; 0.000125 rather than a finer bound. Point regret used a registered smallest effect of interest of ±0.02. No smallest effect of interest was registered for certified volume; volume contrasts are interpreted as directional evidence for the tested regional decision. The flat-cell bootstrap treats cells as exchangeable. Because rows can share families, landscapes, seeds, prevalences, and campaigns, its intervals are conditional descriptive summaries and may be too narrow under dependence; cells are not independent campaigns. Pooled Clopper–Pearson bounds similarly assume an ordinary binomial model.</w:t>
      </w:r>
    </w:p>
    <w:p>
      <w:pPr>
        <w:widowControl/>
      </w:pPr>
      <w:r>
        <w:rPr>
          <w:rFonts w:ascii="Times New Roman" w:hAnsi="Times New Roman" w:eastAsia="Times New Roman" w:cs="Times New Roman"/>
          <w:color w:val="000000"/>
          <w:sz w:val="24"/>
        </w:rPr>
        <w:t>The regret smallest effect of interest was 0.02. An interval extending beyond that boundary was not interpreted as equivalence. The C5 Spearman coefficient is descriptive over 25 nested, nonexchangeable family-prevalence cells; no naive independence-based p-value is interpreted.</w:t>
      </w:r>
    </w:p>
    <w:p>
      <w:pPr>
        <w:pStyle w:val="Heading2"/>
        <w:widowControl/>
      </w:pPr>
      <w:r>
        <w:rPr>
          <w:rFonts w:ascii="Times New Roman" w:hAnsi="Times New Roman" w:eastAsia="Times New Roman" w:cs="Times New Roman"/>
          <w:color w:val="000000"/>
          <w:sz w:val="24"/>
        </w:rPr>
        <w:t>Reproducibility</w:t>
      </w:r>
    </w:p>
    <w:p>
      <w:pPr>
        <w:widowControl/>
      </w:pPr>
      <w:r>
        <w:rPr>
          <w:rFonts w:ascii="Times New Roman" w:hAnsi="Times New Roman" w:eastAsia="Times New Roman" w:cs="Times New Roman"/>
          <w:color w:val="000000"/>
          <w:sz w:val="24"/>
        </w:rPr>
        <w:t xml:space="preserve">Analyses used Python 3.11 with PyTorch, GPyTorch, BoTorch, NumPy, SciPy, pandas, and scikit-learn. Frozen inputs, producing commands, exact estimates, guard coverage, and limitations are indexed in </w:t>
      </w:r>
      <w:r>
        <w:rPr>
          <w:rFonts w:ascii="Courier New" w:hAnsi="Courier New" w:eastAsia="Courier New" w:cs="Courier New"/>
          <w:color w:val="000000"/>
          <w:sz w:val="22"/>
        </w:rPr>
        <w:t>manuscript/CLAIMS-AND-SOURCES.md</w:t>
      </w:r>
      <w:r>
        <w:rPr>
          <w:rFonts w:ascii="Times New Roman" w:hAnsi="Times New Roman" w:eastAsia="Times New Roman" w:cs="Times New Roman"/>
          <w:color w:val="000000"/>
          <w:sz w:val="24"/>
        </w:rPr>
        <w:t xml:space="preserve">. The active PLOS source remains in this repository. Consolidated C1–C6/S1 provenance is pinned to repository commit </w:t>
      </w:r>
      <w:r>
        <w:rPr>
          <w:rFonts w:ascii="Times New Roman" w:hAnsi="Times New Roman" w:eastAsia="Times New Roman" w:cs="Times New Roman"/>
          <w:i/>
          <w:color w:val="000000"/>
          <w:sz w:val="24"/>
        </w:rPr>
        <w:t>ec14bc7</w:t>
      </w:r>
      <w:r>
        <w:rPr>
          <w:rFonts w:ascii="Times New Roman" w:hAnsi="Times New Roman" w:eastAsia="Times New Roman" w:cs="Times New Roman"/>
          <w:color w:val="000000"/>
          <w:sz w:val="24"/>
        </w:rPr>
        <w:t xml:space="preserve">; the ledger gives portable </w:t>
      </w:r>
      <w:r>
        <w:rPr>
          <w:rFonts w:ascii="Times New Roman" w:hAnsi="Times New Roman" w:eastAsia="Times New Roman" w:cs="Times New Roman"/>
          <w:i/>
          <w:color w:val="000000"/>
          <w:sz w:val="24"/>
        </w:rPr>
        <w:t>git show</w:t>
      </w:r>
      <w:r>
        <w:rPr>
          <w:rFonts w:ascii="Times New Roman" w:hAnsi="Times New Roman" w:eastAsia="Times New Roman" w:cs="Times New Roman"/>
          <w:color w:val="000000"/>
          <w:sz w:val="24"/>
        </w:rPr>
        <w:t xml:space="preserve"> and detached-worktree instructions. No frozen result was changed for this rewrite.</w:t>
      </w:r>
    </w:p>
    <w:p>
      <w:pPr>
        <w:pStyle w:val="Heading2"/>
        <w:widowControl/>
      </w:pPr>
      <w:r>
        <w:rPr>
          <w:rFonts w:ascii="Times New Roman" w:hAnsi="Times New Roman" w:eastAsia="Times New Roman" w:cs="Times New Roman"/>
          <w:color w:val="000000"/>
          <w:sz w:val="24"/>
        </w:rPr>
        <w:t>Artificial intelligence assistance</w:t>
      </w:r>
    </w:p>
    <w:p>
      <w:pPr>
        <w:widowControl/>
      </w:pPr>
      <w:r>
        <w:rPr>
          <w:rFonts w:ascii="Times New Roman" w:hAnsi="Times New Roman" w:eastAsia="Times New Roman" w:cs="Times New Roman"/>
          <w:color w:val="000000"/>
          <w:sz w:val="24"/>
        </w:rPr>
        <w:t>OpenAI Codex (GPT-based coding assistant) assisted with manuscript drafting and revision, source-code inspection, figure-generation scripts, and document formatting. The authors reviewed and edited all AI-assisted text and take responsibility for the scientific interpretation, references, code, figures, and reported results. No generative AI system was used to create experimental data.</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Matched five-round SPADE returned greater certified volume</w:t>
      </w:r>
    </w:p>
    <w:p>
      <w:pPr>
        <w:widowControl/>
      </w:pPr>
      <w:r>
        <w:rPr>
          <w:rFonts w:ascii="Times New Roman" w:hAnsi="Times New Roman" w:eastAsia="Times New Roman" w:cs="Times New Roman"/>
          <w:color w:val="000000"/>
          <w:sz w:val="24"/>
        </w:rPr>
        <w:t>Table 1 states the local certification dimensions for C3. Under registered leave-one-family-out calibration, five-round SPADE returned greater certified volume than five-round qLogNEI. Mean certified volumes on the 2,000-point scoring grid were 0.000864 for SPADE and 0.000009 for qLogNEI (about a 92-fold ratio). The SPADE-minus-qLogNEI difference was +0.000855 (95% CI [+0.000691, +0.001028], p &lt; 0.000125, n = 320 dependent cells). Because certified volume is a fraction of that grid, one grid point equals 0.0005 of volume; the mean difference is about 1.7 grid points. No smallest effect of interest was registered for volume, so we treat this as directional support for the tested operating-region decision rather than a universal method ranking. The analogous positive three-round claim was withdrawn after extension to 32 seeds.</w:t>
      </w:r>
    </w:p>
    <w:p>
      <w:pPr>
        <w:keepLines/>
        <w:spacing w:before="0" w:after="120" w:line="240" w:lineRule="auto"/>
      </w:pPr>
      <w:r>
        <w:rPr>
          <w:rFonts w:ascii="Times New Roman" w:hAnsi="Times New Roman" w:eastAsia="Times New Roman" w:cs="Times New Roman"/>
          <w:b/>
          <w:color w:val="000000"/>
          <w:sz w:val="20"/>
        </w:rPr>
        <w:t>Fig 2. SPADE’s primary advantage: trusted operating regions.</w:t>
      </w:r>
      <w:r>
        <w:rPr>
          <w:rFonts w:ascii="Times New Roman" w:hAnsi="Times New Roman" w:eastAsia="Times New Roman" w:cs="Times New Roman"/>
          <w:color w:val="000000"/>
          <w:sz w:val="20"/>
        </w:rPr>
        <w:t xml:space="preserve"> (A) Certified-volume difference (SPADE minus qLogNEI) at matched five rounds: +0.000855 (95% CI [+0.000691, +0.001028], p &lt; 0.000125, n = 320). Absolute means were 0.000864 (SPADE) and 0.000009 (qLogNEI) on the 2,000-point grid (one point = 0.0005 of volume). (B) Observed truth containment among answered regions at prevalence 0.30: SPADE 66/66 versus screened DoE 85/122 and unscreened DoE 77/134. Unconditional contained counts are 66/160, 85/160, and 77/160.</w:t>
      </w:r>
    </w:p>
    <w:p>
      <w:pPr>
        <w:keepNext/>
        <w:keepLines/>
        <w:widowControl/>
      </w:pPr>
      <w:r>
        <w:rPr>
          <w:rFonts w:ascii="Times New Roman" w:hAnsi="Times New Roman" w:eastAsia="Times New Roman" w:cs="Times New Roman"/>
          <w:b/>
          <w:color w:val="000000"/>
          <w:sz w:val="24"/>
        </w:rPr>
        <w:t>Table 1. C3 matched-round regional comparison.</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Noise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Calibration</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Seeds and denominator</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Result</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synthetic families; SPADE vs qLogNEI</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and 0.10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LOFO inflation over c={1,1.5,2,3}</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vs R5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32/family; 320 dependent family-seed-prevalence cells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Volume difference +0.000855</w:t>
            </w:r>
          </w:p>
        </w:tc>
      </w:tr>
    </w:tbl>
    <w:p>
      <w:pPr>
        <w:spacing w:after="40"/>
      </w:pPr>
    </w:p>
    <w:p>
      <w:pPr>
        <w:pStyle w:val="Heading2"/>
        <w:widowControl/>
      </w:pPr>
      <w:r>
        <w:rPr>
          <w:rFonts w:ascii="Times New Roman" w:hAnsi="Times New Roman" w:eastAsia="Times New Roman" w:cs="Times New Roman"/>
          <w:color w:val="000000"/>
          <w:sz w:val="24"/>
        </w:rPr>
        <w:t>Point regret showed no detectable difference from longer qLogNEI</w:t>
      </w:r>
    </w:p>
    <w:p>
      <w:pPr>
        <w:widowControl/>
      </w:pPr>
      <w:r>
        <w:rPr>
          <w:rFonts w:ascii="Times New Roman" w:hAnsi="Times New Roman" w:eastAsia="Times New Roman" w:cs="Times New Roman"/>
          <w:color w:val="000000"/>
          <w:sz w:val="24"/>
        </w:rPr>
        <w:t>In DC, SPADE R5 minus qLogNEI R10 regret was -0.0005 (95% CI [-0.0221, +0.0207], p = 0.96, n = 160, five families x 32 seeds). Both used 48 wells. This is no detectable regret difference, not equivalence: the interval extends slightly beyond the registered ±0.02 effect boundary, and neither calendar duration nor cost was measured.</w:t>
      </w:r>
    </w:p>
    <w:p>
      <w:pPr>
        <w:keepLines/>
        <w:spacing w:before="0" w:after="120" w:line="240" w:lineRule="auto"/>
      </w:pPr>
      <w:r>
        <w:rPr>
          <w:rFonts w:ascii="Times New Roman" w:hAnsi="Times New Roman" w:eastAsia="Times New Roman" w:cs="Times New Roman"/>
          <w:b/>
          <w:color w:val="000000"/>
          <w:sz w:val="20"/>
        </w:rPr>
        <w:t>Fig 3. Point-recipe trade-off (secondary to the region decision). (A) SPADE at five rounds minus qLogNEI at ten rounds on simple regret: no detectable difference (-0.0005, 95% CI [-0.0221, +0.0207], n = 160); not claimed as equivalence. (B) SPADE at five rounds minus screened DoE at three rounds: DoE finds the better single recipe (+0.1026, 95% CI [+0.0486, +0.1578]); expected when the goal is one point rather than a region.</w:t>
      </w:r>
    </w:p>
    <w:p>
      <w:pPr>
        <w:pStyle w:val="Heading2"/>
        <w:widowControl/>
      </w:pPr>
      <w:r>
        <w:rPr>
          <w:rFonts w:ascii="Times New Roman" w:hAnsi="Times New Roman" w:eastAsia="Times New Roman" w:cs="Times New Roman"/>
          <w:color w:val="000000"/>
          <w:sz w:val="24"/>
        </w:rPr>
        <w:t>DoE found a better point recipe but weaker regional containment</w:t>
      </w:r>
    </w:p>
    <w:p>
      <w:pPr>
        <w:widowControl/>
      </w:pPr>
      <w:r>
        <w:rPr>
          <w:rFonts w:ascii="Times New Roman" w:hAnsi="Times New Roman" w:eastAsia="Times New Roman" w:cs="Times New Roman"/>
          <w:color w:val="000000"/>
          <w:sz w:val="24"/>
        </w:rPr>
        <w:t>The adverse point result is essential: screened DoE found the better point recipe in three rounds. SPADE R5 minus screened-DoE R3 regret was +0.1026 (95% CI [+0.0486, +0.1578], p = 0.0003, n = 160). SPADE used five rounds.</w:t>
      </w:r>
    </w:p>
    <w:p>
      <w:pPr>
        <w:widowControl/>
      </w:pPr>
      <w:r>
        <w:rPr>
          <w:rFonts w:ascii="Times New Roman" w:hAnsi="Times New Roman" w:eastAsia="Times New Roman" w:cs="Times New Roman"/>
          <w:color w:val="000000"/>
          <w:sz w:val="24"/>
        </w:rPr>
        <w:t>Regional evidence moved in the opposite direction (Table 2). At prevalence 0.30, relative noise 0.25, assurance 0.95, 48 wells, and five families × 32 seeds, SPADE selected inflation c = 1 within the same comparison sample, answered 66/160 campaigns, and contained truth in 66/66 answered regions (conditional containment 1.0000; ordinary binomial lower bound 0.9556). Neither DoE arm passed at any tested inflation, so DoE counts are fallback diagnostics at baseline c = 1: screened DoE answered 122/160 with 85 contained (0.6967 among answers); unscreened DoE answered 134/160 with 77 contained (0.5746). SPADE’s inflation was selected on these cells while the DoE arms had no passing inflation to select, so the comparison is not calibration-matched; it reports what each pipeline returns under its own best available setting. Per eligible campaign, contained counts were 66/160 for SPADE versus 85/160 (screened DoE) and 77/160 (unscreened DoE). DoE therefore returns more correct regions on an unconditional count only because it answers more often, including incorrect certificates (37 wrong among screened answers; 57 wrong among unscreened answers). SPADE abstains more often (94/160). Under an asymmetric loss in which a false certified region is treated as a manufacturing failure and abstention is treated as a request for more data, the conditional 66/66 record is the primary regional score and the unconditional gap does not overturn it. These within-sample descriptive results do not condemn DoE as a class or establish transportable coverage.</w:t>
      </w:r>
    </w:p>
    <w:p>
      <w:pPr>
        <w:keepNext/>
        <w:keepLines/>
        <w:widowControl/>
      </w:pPr>
      <w:r>
        <w:rPr>
          <w:rFonts w:ascii="Times New Roman" w:hAnsi="Times New Roman" w:eastAsia="Times New Roman" w:cs="Times New Roman"/>
          <w:b/>
          <w:color w:val="000000"/>
          <w:sz w:val="24"/>
        </w:rPr>
        <w:t>Table 2. C2 regional answers and point trade-off.</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Arm</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 noise; 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 seeds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Inflation rule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Answered</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answers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eligible</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Within-sample selected c=1</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66/66</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122/160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85/122</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R2* (protocol label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134/160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77/134</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77/160</w:t>
            </w:r>
          </w:p>
        </w:tc>
      </w:tr>
    </w:tbl>
    <w:p>
      <w:pPr>
        <w:spacing w:after="40"/>
      </w:pPr>
    </w:p>
    <w:p>
      <w:pPr>
        <w:widowControl/>
      </w:pPr>
      <w:r>
        <w:rPr>
          <w:rFonts w:ascii="Times New Roman" w:hAnsi="Times New Roman" w:eastAsia="Times New Roman" w:cs="Times New Roman"/>
          <w:color w:val="000000"/>
          <w:sz w:val="24"/>
        </w:rPr>
        <w:t>\*Unscreened DoE executes a design stage plus one confirmation well (two measurement stages) but retains the protocol’s “R3” comparator label.</w:t>
      </w:r>
    </w:p>
    <w:p>
      <w:pPr>
        <w:keepLines/>
        <w:spacing w:before="0" w:after="120" w:line="240" w:lineRule="auto"/>
      </w:pPr>
      <w:r>
        <w:rPr>
          <w:rFonts w:ascii="Times New Roman" w:hAnsi="Times New Roman" w:eastAsia="Times New Roman" w:cs="Times New Roman"/>
          <w:b/>
          <w:color w:val="000000"/>
          <w:sz w:val="20"/>
        </w:rPr>
        <w:t>Fig 4. Additional locked SPADE evidence (C4 and C6).</w:t>
      </w:r>
      <w:r>
        <w:rPr>
          <w:rFonts w:ascii="Times New Roman" w:hAnsi="Times New Roman" w:eastAsia="Times New Roman" w:cs="Times New Roman"/>
          <w:color w:val="000000"/>
          <w:sz w:val="20"/>
        </w:rPr>
        <w:t xml:space="preserve"> (A) Point-regret advantage of three-round SPADE over one-shot Latin hypercube sampling (LHS minus SPADE = +0.0783; n = 80; locked C4 mean). Higher values favor SPADE. (B) On the biology-shaped Hill family at prevalence 0.70, SPADE answered 40/64 regions versus 27/64 for qLogNEI; both arms contained truth in every answered cell (descriptive counts; C6).</w:t>
      </w:r>
    </w:p>
    <w:p>
      <w:pPr>
        <w:pStyle w:val="Heading2"/>
        <w:widowControl/>
      </w:pPr>
      <w:r>
        <w:rPr>
          <w:rFonts w:ascii="Times New Roman" w:hAnsi="Times New Roman" w:eastAsia="Times New Roman" w:cs="Times New Roman"/>
          <w:color w:val="000000"/>
          <w:sz w:val="24"/>
        </w:rPr>
        <w:t>Certifiability depended on family, prevalence, and margin-to-noise</w:t>
      </w:r>
    </w:p>
    <w:p>
      <w:pPr>
        <w:widowControl/>
      </w:pPr>
      <w:r>
        <w:rPr>
          <w:rFonts w:ascii="Times New Roman" w:hAnsi="Times New Roman" w:eastAsia="Times New Roman" w:cs="Times New Roman"/>
          <w:color w:val="000000"/>
          <w:sz w:val="24"/>
        </w:rPr>
        <w:t>Across five families and prevalences 0.70, 0.50, 0.30, 0.20, and 0.10, SPADE answer rate at c=1, alpha=0.95, 48 wells, R5, relative noise 0.25, and 64 seeds per family was descriptively associated with mean seed-specific true margin-to-noise (Spearman rho = 0.988; 25 nested family-prevalence cells). The diagnostic uses latent truth and is explanatory, not available prospectively. Shared families and ordered prevalences make the cells dependent and nonexchangeable.</w:t>
      </w:r>
    </w:p>
    <w:p>
      <w:pPr>
        <w:widowControl/>
      </w:pPr>
      <w:r>
        <w:rPr>
          <w:rFonts w:ascii="Times New Roman" w:hAnsi="Times New Roman" w:eastAsia="Times New Roman" w:cs="Times New Roman"/>
          <w:color w:val="000000"/>
          <w:sz w:val="24"/>
        </w:rPr>
        <w:t>For the biology-shaped but synthetic Hill family at prevalence 0.70, under those same settings, SPADE answered 40/64 and contained truth in 40/40 (ordinary-binomial lower bound 0.9278). qLogNEI answered 27/64 and contained 27/27; its limitation was the answer count required by the registered gate, not failure to return contained regions.</w:t>
      </w:r>
    </w:p>
    <w:p>
      <w:pPr>
        <w:pStyle w:val="Heading2"/>
        <w:widowControl/>
      </w:pPr>
      <w:r>
        <w:rPr>
          <w:rFonts w:ascii="Times New Roman" w:hAnsi="Times New Roman" w:eastAsia="Times New Roman" w:cs="Times New Roman"/>
          <w:color w:val="000000"/>
          <w:sz w:val="24"/>
        </w:rPr>
        <w:t>Supporting real-data diagnostics (summarized; full rows in Supporting Information)</w:t>
      </w:r>
    </w:p>
    <w:p>
      <w:pPr>
        <w:widowControl/>
      </w:pPr>
      <w:r>
        <w:rPr>
          <w:rFonts w:ascii="Times New Roman" w:hAnsi="Times New Roman" w:eastAsia="Times New Roman" w:cs="Times New Roman"/>
          <w:color w:val="000000"/>
          <w:sz w:val="24"/>
        </w:rPr>
        <w:t>Treating the fitted GP mean as fixed had little effect in synthetic diagnostics: mean-marginalised posterior width increased by 1.004x–1.011x. The same correction increased mean posterior marginal SD approximately 484x for the in-house candidate dataset and 297x for published Hall–Ogle data. Observation-prediction LOO inflation was assay-specific (c=0.712 in-house and c=0.526 published). These S2/S3 values are retrospective, stdout-reproduced support without structured numerical guards. LOO prediction does not identify latent-function uncertainty, and the in-house CD31 gates remain awaiting human confirmation.</w:t>
      </w:r>
    </w:p>
    <w:p>
      <w:pPr>
        <w:pStyle w:val="Heading2"/>
        <w:widowControl/>
      </w:pPr>
      <w:r>
        <w:rPr>
          <w:rFonts w:ascii="Times New Roman" w:hAnsi="Times New Roman" w:eastAsia="Times New Roman" w:cs="Times New Roman"/>
          <w:color w:val="000000"/>
          <w:sz w:val="24"/>
        </w:rPr>
        <w:t>Failed targeting, the real-noise ceiling, and the unopened lockbox</w:t>
      </w:r>
    </w:p>
    <w:p>
      <w:pPr>
        <w:widowControl/>
      </w:pPr>
      <w:r>
        <w:rPr>
          <w:rFonts w:ascii="Times New Roman" w:hAnsi="Times New Roman" w:eastAsia="Times New Roman" w:cs="Times New Roman"/>
          <w:color w:val="000000"/>
          <w:sz w:val="24"/>
        </w:rPr>
        <w:t>The target-aligned acquisition did not earn adoption. Relative to committed SPADE, its certified-volume change was +0.000425 (95% CI [-0.000022, +0.000875]) and its regret was worse by +0.0301 (95% CI [+0.0169, +0.0450], p &lt; 0.000125). Family effects cancelled. This failure is why SPADE's value is described architecturally rather than as a successful targeting mechanism.</w:t>
      </w:r>
    </w:p>
    <w:p>
      <w:pPr>
        <w:widowControl/>
      </w:pPr>
      <w:r>
        <w:rPr>
          <w:rFonts w:ascii="Times New Roman" w:hAnsi="Times New Roman" w:eastAsia="Times New Roman" w:cs="Times New Roman"/>
          <w:color w:val="000000"/>
          <w:sz w:val="24"/>
        </w:rPr>
        <w:t>At measured real-assay relative noise 0.68, no tested arm certified. Replication and independent noise identification are therefore prerequisites for prospective use at that noise level.</w:t>
      </w:r>
    </w:p>
    <w:p>
      <w:pPr>
        <w:widowControl/>
      </w:pPr>
      <w:r>
        <w:rPr>
          <w:rFonts w:ascii="Times New Roman" w:hAnsi="Times New Roman" w:eastAsia="Times New Roman" w:cs="Times New Roman"/>
          <w:color w:val="000000"/>
          <w:sz w:val="24"/>
        </w:rPr>
        <w:t>A later future-response development grid evaluated nine candidate protocols on five families. Table 3 reports its preserved ranges; every candidate missed the registered containment floor on at least one family. The selector returned a development outcome that selected no protocol, no post-hoc power calculation was authorized, and the held-out confirmation store remained a frozen, unopened confirmation store. No lockbox evidence was opened.</w:t>
      </w:r>
    </w:p>
    <w:p>
      <w:pPr>
        <w:keepNext/>
        <w:keepLines/>
        <w:widowControl/>
      </w:pPr>
      <w:r>
        <w:rPr>
          <w:rFonts w:ascii="Times New Roman" w:hAnsi="Times New Roman" w:eastAsia="Times New Roman" w:cs="Times New Roman"/>
          <w:b/>
          <w:color w:val="000000"/>
          <w:sz w:val="24"/>
        </w:rPr>
        <w:t>Table 3. Joint-protocol development ranges across nine candidates.</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 count range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Empirical containment range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49–50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0.140–0.490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0.320–0.820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0.440–0.940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47–49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0.213–0.333</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0.061–0.320</w:t>
            </w:r>
          </w:p>
        </w:tc>
      </w:tr>
    </w:tbl>
    <w:p>
      <w:pPr>
        <w:spacing w:after="40"/>
      </w:pP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The primary conclusion is decision-specific. At five matched rounds, SPADE produced greater certified volume than qLogNEI under registered LOFO calibration. In the DC comparison its answered regions also had stronger observed truth containment than the tested DoE pipelines. Those findings support SPADE when the requested deliverable is a conservative operating region and abstention is acceptable.</w:t>
      </w:r>
    </w:p>
    <w:p>
      <w:pPr>
        <w:widowControl/>
      </w:pPr>
      <w:r>
        <w:rPr>
          <w:rFonts w:ascii="Times New Roman" w:hAnsi="Times New Roman" w:eastAsia="Times New Roman" w:cs="Times New Roman"/>
          <w:color w:val="000000"/>
          <w:sz w:val="24"/>
        </w:rPr>
        <w:t>They do not support a universal ranking. The qLogNEI point comparison showed no detectable difference and did not establish equivalence. Screened DoE found a substantially better point recipe in fewer rounds. A laboratory requiring one recipe may rationally prefer a point optimizer; a laboratory requiring a region faces a different loss function.</w:t>
      </w:r>
    </w:p>
    <w:p>
      <w:pPr>
        <w:widowControl/>
      </w:pPr>
      <w:r>
        <w:rPr>
          <w:rFonts w:ascii="Times New Roman" w:hAnsi="Times New Roman" w:eastAsia="Times New Roman" w:cs="Times New Roman"/>
          <w:color w:val="000000"/>
          <w:sz w:val="24"/>
        </w:rPr>
        <w:t>The contribution is integration and evidence, not theoretical priority. GP level-set learning, Vorob'ev summaries, simultaneous posterior inclusion, and conservative excursion sets are established. SPADE adapts them to a fixed-well assay architecture, uses common regional post-processing across comparator observations, and permits an empty answer. The failed target-alignment experiment prevents attributing the observed regional result to successful threshold targeting.</w:t>
      </w:r>
    </w:p>
    <w:p>
      <w:pPr>
        <w:pStyle w:val="Heading2"/>
        <w:widowControl/>
      </w:pPr>
      <w:r>
        <w:rPr>
          <w:rFonts w:ascii="Times New Roman" w:hAnsi="Times New Roman" w:eastAsia="Times New Roman" w:cs="Times New Roman"/>
          <w:color w:val="000000"/>
          <w:sz w:val="24"/>
        </w:rPr>
        <w:t>Scope and limitations</w:t>
      </w:r>
    </w:p>
    <w:p>
      <w:pPr>
        <w:widowControl/>
      </w:pPr>
      <w:r>
        <w:rPr>
          <w:rFonts w:ascii="Times New Roman" w:hAnsi="Times New Roman" w:eastAsia="Times New Roman" w:cs="Times New Roman"/>
          <w:color w:val="000000"/>
          <w:sz w:val="24"/>
        </w:rPr>
        <w:t>All comparative landscapes were synthetic, the domain was evaluated on finite grids, and headline noise was 0.25. Families, seeds, target prevalences, kernels, acquisition implementations, and one 48-well budget bound the result. The tested DoE is one low-order response-surface pipeline and qLogNEI is one BO acquisition.</w:t>
      </w:r>
    </w:p>
    <w:p>
      <w:pPr>
        <w:widowControl/>
      </w:pPr>
      <w:r>
        <w:rPr>
          <w:rFonts w:ascii="Times New Roman" w:hAnsi="Times New Roman" w:eastAsia="Times New Roman" w:cs="Times New Roman"/>
          <w:color w:val="000000"/>
          <w:sz w:val="24"/>
        </w:rPr>
        <w:t>Inference is conditional on the frozen benchmark. The flat-cell bootstrap may be too narrow because repeated family-seed-prevalence cells are dependent. Pooled binomial bounds do not become cluster-aware merely because they are exact under an ordinary Bernoulli model. C2 calibration is within-sample; only C3 holds a family out during inflation selection. Neither procedure supplies distribution-free or regulatory coverage.</w:t>
      </w:r>
    </w:p>
    <w:p>
      <w:pPr>
        <w:widowControl/>
      </w:pPr>
      <w:r>
        <w:rPr>
          <w:rFonts w:ascii="Times New Roman" w:hAnsi="Times New Roman" w:eastAsia="Times New Roman" w:cs="Times New Roman"/>
          <w:color w:val="000000"/>
          <w:sz w:val="24"/>
        </w:rPr>
        <w:t>The real-data analyses are retrospective diagnostics. They do not establish recipe equivalence, manufacturing qualification, regulatory validation, or prospective wet-lab performance. The relative-noise ceiling, unsigned in-house gates, missing replicate-tube noise identification, joint-protocol a development outcome that selected no protocol, and unopened lockbox preclude such claims.</w:t>
      </w:r>
    </w:p>
    <w:p>
      <w:pPr>
        <w:pStyle w:val="Heading2"/>
        <w:widowControl/>
      </w:pPr>
      <w:r>
        <w:rPr>
          <w:rFonts w:ascii="Times New Roman" w:hAnsi="Times New Roman" w:eastAsia="Times New Roman" w:cs="Times New Roman"/>
          <w:color w:val="000000"/>
          <w:sz w:val="24"/>
        </w:rPr>
        <w:t>Relationship to published and retained evidence</w:t>
      </w:r>
    </w:p>
    <w:p>
      <w:pPr>
        <w:widowControl/>
      </w:pPr>
      <w:r>
        <w:rPr>
          <w:rFonts w:ascii="Times New Roman" w:hAnsi="Times New Roman" w:eastAsia="Times New Roman" w:cs="Times New Roman"/>
          <w:color w:val="000000"/>
          <w:sz w:val="24"/>
        </w:rPr>
        <w:t>Table 4 situates the contribution. Physical and biological optimization studies provide wet-lab relevance but usually answer different budget and decision questions. Methodological papers supply the level-set and conservative-set foundations. The present simulation offers known truth but no biological validation.</w:t>
      </w:r>
    </w:p>
    <w:p>
      <w:pPr>
        <w:keepNext/>
        <w:keepLines/>
        <w:widowControl/>
      </w:pPr>
      <w:r>
        <w:rPr>
          <w:rFonts w:ascii="Times New Roman" w:hAnsi="Times New Roman" w:eastAsia="Times New Roman" w:cs="Times New Roman"/>
          <w:b/>
          <w:color w:val="000000"/>
          <w:sz w:val="24"/>
        </w:rPr>
        <w:t>Table 4. Selected precedents and scope.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Evidence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or method</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Relationship to this study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Hall, Lin, and Ogle [7]</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Experimental-design study of extracellular matrix</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Published assay-shape support; not a SPADE campaign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Rummukainen et al. [8]</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Physical DoE and adaptive optimization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Wet-process evidence with a different budget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Lapierre et al. [9]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Multicycle BO and two-step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Biological growth outcome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Gotovos et al. [13]</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Level-set classification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level-set precedent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Azzimonti et al. [14]</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Conservative excursion sets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Close estimator antecedent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Bogunovic et al. [15]</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TruVaR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Optimization/level-set connection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Present study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and conservative-region decisions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Fixed-well synthetic comparison with abstention</w:t>
            </w:r>
          </w:p>
        </w:tc>
      </w:tr>
    </w:tbl>
    <w:p>
      <w:pPr>
        <w:spacing w:after="40"/>
      </w:pPr>
    </w:p>
    <w:p>
      <w:pPr>
        <w:keepNext/>
        <w:keepLines/>
        <w:widowControl/>
      </w:pPr>
      <w:r>
        <w:rPr>
          <w:rFonts w:ascii="Times New Roman" w:hAnsi="Times New Roman" w:eastAsia="Times New Roman" w:cs="Times New Roman"/>
          <w:b/>
          <w:color w:val="000000"/>
          <w:sz w:val="24"/>
        </w:rPr>
        <w:t>Table 5. Contribution and novelty boundary.</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Element</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Classification</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Present contribution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GP excursion sets, boundary learning, Vorob'ev candidates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Integrated, not claimed as new theory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 and response-surface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comparator ingredients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Implemented as specific fixed-budget pipelines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Per-well variances, round schedules, empty answer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Assay-oriented adaptation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Operational SPADE architecture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Common conservative-region estimator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Comparative-design choice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Separates observations from regional post-processing</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volume, answers, and truth containment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Empirical evidence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Bounded to named synthetic settings</w:t>
            </w:r>
          </w:p>
        </w:tc>
      </w:tr>
    </w:tbl>
    <w:p>
      <w:pPr>
        <w:spacing w:after="40"/>
      </w:pP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SPADE performed better for the tested operating-region decision: at matched five rounds it returned greater certified volume than qLogNEI, and its answered DC regions had stronger observed containment than the tested DoE pipelines. That regional conclusion coexists with no detectable point-regret difference from longer qLogNEI, an interval that did not establish equivalence, and a clear adverse result in which three-round DoE found a better point recipe than five-round SPADE.</w:t>
      </w:r>
    </w:p>
    <w:p>
      <w:pPr>
        <w:widowControl/>
      </w:pPr>
      <w:r>
        <w:rPr>
          <w:rFonts w:ascii="Times New Roman" w:hAnsi="Times New Roman" w:eastAsia="Times New Roman" w:cs="Times New Roman"/>
          <w:color w:val="000000"/>
          <w:sz w:val="24"/>
        </w:rPr>
        <w:t>Choose SPADE when a moderate-noise, fixed-well campaign must return a conservative operating region and may abstain; choose a point optimizer when only one recipe is required. SPADE’s regional advantage is conditional honesty among answered campaigns, not a higher unconditional hit rate than DoE. These computational results do not establish recipe equivalence, manufacturing qualification, regulatory validation, or prospective wet-lab performance.</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Primary result files, analysis scripts, protocols, and supporting tables are available in the project repository at https://github.com/akwnn/nutrigene-ai-bo-ipsec (commit ec14bc7 anchors the audited publication package; the submission branch carries the PLOS manuscript rebuilds). Original software is released under the MIT License; original research materials are released under CC BY 4.0 (see LICENSE and LICENSE-CONTENT.md). Audited claim sources are indexed in publication/manuscript/CLAIMS-AND-SOURCES.md. A DOI-bearing Zenodo (or equivalent) archival snapshot of the submission package will be minted at or before journal submission and will replace this placeholder (see manuscript/ZENODO-DEPOSIT.md). Until that DOI is issued, the GitHub repository is the working source of the materials described here.</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b/>
          <w:color w:val="000000"/>
          <w:sz w:val="24"/>
        </w:rPr>
        <w:t>Alana Wai Han Kwan:</w:t>
      </w:r>
      <w:r>
        <w:rPr>
          <w:rFonts w:ascii="Times New Roman" w:hAnsi="Times New Roman" w:eastAsia="Times New Roman" w:cs="Times New Roman"/>
          <w:color w:val="000000"/>
          <w:sz w:val="24"/>
        </w:rPr>
        <w:t xml:space="preserve"> Conceptualization; Formal analysis; Investigation; Methodology; Project administration; Validation; Visualization; Writing – original draft; Writing – review &amp; editing.</w:t>
      </w:r>
    </w:p>
    <w:p>
      <w:pPr>
        <w:widowControl/>
      </w:pPr>
      <w:r>
        <w:rPr>
          <w:rFonts w:ascii="Times New Roman" w:hAnsi="Times New Roman" w:eastAsia="Times New Roman" w:cs="Times New Roman"/>
          <w:b/>
          <w:color w:val="000000"/>
          <w:sz w:val="24"/>
        </w:rPr>
        <w:t>Joseph Yung:</w:t>
      </w:r>
      <w:r>
        <w:rPr>
          <w:rFonts w:ascii="Times New Roman" w:hAnsi="Times New Roman" w:eastAsia="Times New Roman" w:cs="Times New Roman"/>
          <w:color w:val="000000"/>
          <w:sz w:val="24"/>
        </w:rPr>
        <w:t xml:space="preserve"> Conceptualization; Data curation; Formal analysis; Investigation; Methodology; Software; Validation; Writing – review &amp; editing.</w:t>
      </w:r>
    </w:p>
    <w:p>
      <w:pPr>
        <w:widowControl/>
      </w:pPr>
      <w:r>
        <w:rPr>
          <w:rFonts w:ascii="Times New Roman" w:hAnsi="Times New Roman" w:eastAsia="Times New Roman" w:cs="Times New Roman"/>
          <w:color w:val="000000"/>
          <w:sz w:val="24"/>
        </w:rPr>
        <w:t>Roles follow the CRediT taxonomy.</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We thank the Obermeyer Research Group at Columbia University for research context on multicomponent formulation design. Computational experiments used synthetic landscapes; no wet-lab samples were generated for this study.</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Gotovos A, Casati N, Hitz G, Krause A. Active learning for level set estimation. Proceedings of the Twenty-Third International Joint Conference on Artificial Intelligence. 2013. Available from: https://people.csail.mit.edu/alkisg/files/gotovos13active.pdf</w:t>
      </w:r>
    </w:p>
    <w:p>
      <w:pPr>
        <w:spacing w:line="240" w:lineRule="auto" w:after="80"/>
        <w:ind w:left="360" w:hanging="360"/>
      </w:pPr>
      <w:r>
        <w:rPr>
          <w:rFonts w:ascii="Times New Roman" w:hAnsi="Times New Roman" w:eastAsia="Times New Roman" w:cs="Times New Roman"/>
          <w:color w:val="000000"/>
          <w:sz w:val="20"/>
        </w:rPr>
        <w:t>14. Azzimonti D, Ginsbourger D, Chevalier C, Bect J, Richet Y. Adaptive design of experiments for conservative estimation of excursion sets. Technometrics. 2021;63:13–26. doi:10.1080/00401706.2019.1693427</w:t>
      </w:r>
    </w:p>
    <w:p>
      <w:pPr>
        <w:spacing w:line="240" w:lineRule="auto" w:after="80"/>
        <w:ind w:left="360" w:hanging="360"/>
      </w:pPr>
      <w:r>
        <w:rPr>
          <w:rFonts w:ascii="Times New Roman" w:hAnsi="Times New Roman" w:eastAsia="Times New Roman" w:cs="Times New Roman"/>
          <w:color w:val="000000"/>
          <w:sz w:val="20"/>
        </w:rPr>
        <w:t>15. Bogunovic I, Scarlett J, Krause A, Cevher V. Truncated variance reduction: A unified approach to Bayesian optimization and level-set estimation. Advances in Neural Information Processing Systems. 2016;29. Available from: https://papers.neurips.cc/paper_files/paper/2016/hash/ce78d1da254c0843eb23951ae077ff5f-Abstract.html</w:t>
      </w:r>
    </w:p>
    <w:p>
      <w:pPr>
        <w:spacing w:line="240" w:lineRule="auto" w:after="80"/>
        <w:ind w:left="360" w:hanging="360"/>
      </w:pPr>
      <w:r>
        <w:rPr>
          <w:rFonts w:ascii="Times New Roman" w:hAnsi="Times New Roman" w:eastAsia="Times New Roman" w:cs="Times New Roman"/>
          <w:color w:val="000000"/>
          <w:sz w:val="20"/>
        </w:rPr>
        <w:t>16. Ament S, Daulton S, Eriksson D, Balandat M, Bakshy E. Unexpected improvements to expected improvement for Bayesian optimization. Advances in Neural Information Processing Systems. 2023;36. Available from: https://proceedings.neurips.cc/paper_files/paper/2023/hash/419f72cbd568ad62183f8132a3605a2a-Abstract-Conference.html</w:t>
      </w:r>
    </w:p>
    <w:p>
      <w:pPr>
        <w:spacing w:line="240" w:lineRule="auto" w:after="80"/>
        <w:ind w:left="360" w:hanging="360"/>
      </w:pPr>
      <w:r>
        <w:rPr>
          <w:rFonts w:ascii="Times New Roman" w:hAnsi="Times New Roman" w:eastAsia="Times New Roman" w:cs="Times New Roman"/>
          <w:color w:val="000000"/>
          <w:sz w:val="20"/>
        </w:rPr>
        <w:t>17. Gneiting T, Raftery AE. Strictly proper scoring rules, prediction, and estimation. J Am Stat Assoc. 2007;102:359–378. doi:10.1198/016214506000001437</w:t>
      </w:r>
    </w:p>
    <w:p>
      <w:pPr>
        <w:spacing w:line="240" w:lineRule="auto" w:after="80"/>
        <w:ind w:left="360" w:hanging="360"/>
      </w:pPr>
      <w:r>
        <w:rPr>
          <w:rFonts w:ascii="Times New Roman" w:hAnsi="Times New Roman" w:eastAsia="Times New Roman" w:cs="Times New Roman"/>
          <w:color w:val="000000"/>
          <w:sz w:val="20"/>
        </w:rPr>
        <w:t>18. Balandat M, Karrer B, Jiang D, Daulton S, Letham B, Wilson AG, et al. BoTorch: A framework for efficient Monte-Carlo Bayesian optimization. Advances in Neural Information Processing Systems. 2020;33. Available from: https://proceedings.neurips.cc/paper/2020/hash/f5b1b89d98b7286673128a5fb112cb9a-Abstract.html</w:t>
      </w:r>
    </w:p>
    <w:p>
      <w:pPr>
        <w:spacing w:line="240" w:lineRule="auto" w:after="80"/>
        <w:ind w:left="360" w:hanging="360"/>
      </w:pPr>
      <w:r>
        <w:rPr>
          <w:rFonts w:ascii="Times New Roman" w:hAnsi="Times New Roman" w:eastAsia="Times New Roman" w:cs="Times New Roman"/>
          <w:color w:val="000000"/>
          <w:sz w:val="20"/>
        </w:rPr>
        <w:t>19. Mia I, Tiihonen A, Ernst A, Srivastava A, Buonassisi T, Vandenberghe W, et al. Multi-variable batch Bayesian optimization in materials research: Synthetic data analysis of noise sensitivity and problem landscape effects. J Mater Res. 2026;41:927–948. doi:10.1557/s43578-026-01803-y</w:t>
      </w:r>
    </w:p>
    <w:p>
      <w:pPr>
        <w:spacing w:line="240" w:lineRule="auto" w:after="80"/>
        <w:ind w:left="360" w:hanging="360"/>
      </w:pPr>
      <w:r>
        <w:rPr>
          <w:rFonts w:ascii="Times New Roman" w:hAnsi="Times New Roman" w:eastAsia="Times New Roman" w:cs="Times New Roman"/>
          <w:color w:val="000000"/>
          <w:sz w:val="20"/>
        </w:rPr>
        <w:t>20. Morris TP, White IR, Crowther MJ. Using simulation studies to evaluate statistical methods. Stat Med. 2019;38:2074–2102. doi:10.1002/sim.8086</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color w:val="000000"/>
          <w:sz w:val="24"/>
        </w:rPr>
        <w:t xml:space="preserve">Main text Figures 1–4 follow the region-first presentation: method selection (Fig 1), SPADE’s certified-volume and containment advantage (Fig 2), the secondary point-recipe trade-off (Fig 3), and additional locked SPADE evidence C4/C6 (Fig 4). Numeric sources are in </w:t>
      </w:r>
      <w:r>
        <w:rPr>
          <w:rFonts w:ascii="Courier New" w:hAnsi="Courier New" w:eastAsia="Courier New" w:cs="Courier New"/>
          <w:color w:val="000000"/>
          <w:sz w:val="22"/>
        </w:rPr>
        <w:t>publication/manuscript/CLAIMS-AND-SOURCES.md</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research/results/comparisons/</w:t>
      </w:r>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Optional archive: historical Rule A versus Rule P terminal-rule rows.</w:t>
      </w:r>
    </w:p>
    <w:p>
      <w:pPr>
        <w:widowControl/>
      </w:pPr>
      <w:r>
        <w:rPr>
          <w:rFonts w:ascii="Times New Roman" w:hAnsi="Times New Roman" w:eastAsia="Times New Roman" w:cs="Times New Roman"/>
          <w:color w:val="000000"/>
          <w:sz w:val="24"/>
        </w:rPr>
        <w:t>Motivation only; not a current C1 claim.</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Optional archive: historical two-round map-error contrasts.</w:t>
      </w:r>
    </w:p>
    <w:p>
      <w:pPr>
        <w:widowControl/>
      </w:pPr>
      <w:r>
        <w:rPr>
          <w:rFonts w:ascii="Times New Roman" w:hAnsi="Times New Roman" w:eastAsia="Times New Roman" w:cs="Times New Roman"/>
          <w:color w:val="000000"/>
          <w:sz w:val="24"/>
        </w:rPr>
        <w:t>Motivation only; not a current C3 claim.</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Optional archive: older posterior self-consistency checks.</w:t>
      </w:r>
    </w:p>
    <w:p>
      <w:pPr>
        <w:widowControl/>
      </w:pPr>
      <w:r>
        <w:rPr>
          <w:rFonts w:ascii="Times New Roman" w:hAnsi="Times New Roman" w:eastAsia="Times New Roman" w:cs="Times New Roman"/>
          <w:color w:val="000000"/>
          <w:sz w:val="24"/>
        </w:rPr>
        <w:t>These do not replace empirical containment or the C3 certified-volume result.</w:t>
      </w:r>
    </w:p>
    <w:sectPr w:rsidR="00FC693F" w:rsidRPr="0006063C" w:rsidSect="00034616">
      <w:footerReference w:type="default" r:id="rId9"/>
      <w:pgSz w:w="12240" w:h="15840"/>
      <w:pgMar w:top="1440" w:right="1440" w:bottom="216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Operating-region and point-recipe decisions rank experimental designs differently under a fixed 48-well budget: a synthetic SPADE comparison with Bayesian optimization and response-surface design</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