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When a cell-culture or bioprocess campaign has a fixed well budget, the end goal may be one best recipe or a trustworthy set of settings that still clear a threshold. Those are different jobs, so which experimental method looks best can change with the job. We compared SPADE (Synthetic Posterior Abstaining Design for Excursions)—a workflow built to return a conservative “good enough” operating region and to abstain when evidence is weak—with noisy Bayesian optimization (qLogNEI) and classical response-surface design of experiments (DoE) on shared synthetic test surfaces under a common 48-well budget. The main conclusion is decision-specific: on this benchmark SPADE is preferable when the deliverable is a trusted operating region, not when the deliverable is a single optimized recipe. At matched five feedback rounds, SPADE’s returned regions were larger on average than qLogNEI’s (mean certified volume 0.000864 versus 0.000009, about 92-fold; difference +0.000855, 95% CI [+0.000691, +0.001028], p &lt; 0.000125; n = 320 paired contrasts). Certified volume is the fraction of a fixed 2,000-point scoring grid inside the region the method calls acceptable (one grid point equals 0.0005 of volume). At prevalence 0.30, every region SPADE returned contained truth (66/66 answered), whereas DoE answered more often but issued many incorrect regions (screened 85/122 contained among answers; unscreened 77/134); counting every campaign, contained totals were 66/160 for SPADE versus 85/160 and 77/160 for the DoE arms. That pattern fits an asymmetric loss in which a false certified region is costlier than abstention. By contrast, screened three-round DoE found better point recipes (+0.1026 SPADE-minus-DoE regret), and five-round SPADE showed no detectable regret difference from ten-round qLogNEI (−0.0005, 95% CI [−0.0221, +0.0207], p = 0.96; n = 160) without establishing equivalence. Results are limited to these synthetic surfaces, moderate noise, and finite grids; they do not establish wet-lab or regulatory performance.</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Next/>
        <w:spacing w:before="120" w:after="60" w:line="240" w:lineRule="auto"/>
        <w:jc w:val="center"/>
      </w:pPr>
      <w:r>
        <w:drawing>
          <wp:inline xmlns:a="http://schemas.openxmlformats.org/drawingml/2006/main" xmlns:pic="http://schemas.openxmlformats.org/drawingml/2006/picture">
            <wp:extent cx="5897880" cy="332792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332792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Study design under a fixed 48-well budget. (A) Every arm uses the same 48-well campaign; the method chooses round structure and the terminal return. (B) The campaign is scored as a point-recipe decision (simple regret) and/or an operating-region decision (certified volume, containment, or abstention). (C) Comparators in this study: SPADE (region-first), qLogNEI (noisy Bayesian optimization), and DoE response-surface pipelines. This schematic defines the benchmark and contains no performance result.</w:t>
      </w:r>
      <w:r>
        <w:rPr>
          <w:rFonts w:ascii="Times New Roman" w:hAnsi="Times New Roman" w:eastAsia="Times New Roman" w:cs="Times New Roman"/>
          <w:color w:val="000000"/>
          <w:sz w:val="20"/>
        </w:rPr>
        <w:t xml:space="preserve"> (A) Choose SPADE when the campaign must return a trusted operating region with honest abstention. (B) Choose a point optimizer (DoE or Bayesian optimization) when only one carry-forward recipe is required. (C) Under very high assay-like noise, abstain and replicate rather than claiming a region. This schematic defines the decision framing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regret smallest effect of interest was 0.02. An interval extending beyond that boundary was not interpreted as equivalence. 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states the local certification dimensions for C3. Under registered leave-one-family-out calibration, five-round SPADE returned greater certified volume than five-round qLogNEI. Mean certified volumes on the 2,000-point scoring grid were 0.000864 for SPADE and 0.000009 for qLogNEI (about a 92-fold ratio). The SPADE-minus-qLogNEI difference was +0.000855 (95% CI [+0.000691, +0.001028], p &lt; 0.000125, n = 320 dependent cells). Because certified volume is a fraction of that grid, one grid point equals 0.0005 of volume; the mean difference is about 1.7 grid points. No smallest effect of interest was registered for volume, so we treat this as directional support for the tested operating-region decision rather than a universal method ranking. The analogous positive three-round claim was withdrawn after extension to 32 seeds.</w:t>
      </w:r>
    </w:p>
    <w:p>
      <w:pPr>
        <w:keepNext/>
        <w:spacing w:before="120" w:after="60" w:line="240" w:lineRule="auto"/>
        <w:jc w:val="center"/>
      </w:pPr>
      <w:r>
        <w:drawing>
          <wp:inline xmlns:a="http://schemas.openxmlformats.org/drawingml/2006/main" xmlns:pic="http://schemas.openxmlformats.org/drawingml/2006/picture">
            <wp:extent cx="5897880" cy="232845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32845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SPADE’s primary advantage: trusted operating regions.</w:t>
      </w:r>
      <w:r>
        <w:rPr>
          <w:rFonts w:ascii="Times New Roman" w:hAnsi="Times New Roman" w:eastAsia="Times New Roman" w:cs="Times New Roman"/>
          <w:color w:val="000000"/>
          <w:sz w:val="20"/>
        </w:rPr>
        <w:t xml:space="preserve"> (A) Certified-volume difference (SPADE minus qLogNEI) at matched five rounds: +0.000855 (95% CI [+0.000691, +0.001028], p &lt; 0.000125, n = 320). Absolute means were 0.000864 (SPADE) and 0.000009 (qLogNEI) on the 2,000-point grid (one point = 0.0005 of volume). (B) Observed truth containment among answered regions at prevalence 0.30: SPADE 66/66 versus screened DoE 85/122 and unscreened DoE 77/134. Unconditional contained counts are 66/160, 85/160, and 77/160.</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In DC, SPADE R5 minus qLogNEI R10 regret was -0.0005 (95% CI [-0.0221, +0.0207], p = 0.96, n = 160, five families x 32 seeds). Both used 48 wells. This is no detectable regret difference, not equivalence: the interval extends slightly beyond the registered ±0.02 effect boundary, and neither calendar duration nor cost was measured.</w:t>
      </w:r>
    </w:p>
    <w:p>
      <w:pPr>
        <w:keepNext/>
        <w:spacing w:before="120" w:after="60" w:line="240" w:lineRule="auto"/>
        <w:jc w:val="center"/>
      </w:pPr>
      <w:r>
        <w:drawing>
          <wp:inline xmlns:a="http://schemas.openxmlformats.org/drawingml/2006/main" xmlns:pic="http://schemas.openxmlformats.org/drawingml/2006/picture">
            <wp:extent cx="5897880" cy="28339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28339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 (A) SPADE at five rounds minus qLogNEI at ten rounds on simple regret: no detectable difference (-0.0005, 95% CI [-0.0221, +0.0207], n = 160); not claimed as equivalence. (B) SPADE at five rounds minus screened DoE at three rounds: DoE finds the better single recipe (+0.1026, 95% CI [+0.0486, +0.1578]); expected when the goal is one point rather than a region.</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The adverse point result is essential: screened DoE found the better point recipe in three rounds. SPADE R5 minus screened-DoE R3 regret was +0.1026 (95% CI [+0.0486, +0.1578], p = 0.0003, n = 160). SPADE used five rounds.</w:t>
      </w:r>
    </w:p>
    <w:p>
      <w:pPr>
        <w:widowControl/>
      </w:pPr>
      <w:r>
        <w:rPr>
          <w:rFonts w:ascii="Times New Roman" w:hAnsi="Times New Roman" w:eastAsia="Times New Roman" w:cs="Times New Roman"/>
          <w:color w:val="000000"/>
          <w:sz w:val="24"/>
        </w:rPr>
        <w:t>Regional evidence moved in the opposite direction (Table 2). At prevalence 0.30, relative noise 0.25, assurance 0.95, 48 wells, and five families × 32 seeds, SPADE selected inflation c = 1 within the same comparison sample, answered 66/160 campaigns, and contained truth in 66/66 answered regions (conditional containment 1.0000; ordinary binomial lower bound 0.9556).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Next/>
        <w:spacing w:before="120" w:after="60" w:line="240" w:lineRule="auto"/>
        <w:jc w:val="center"/>
      </w:pPr>
      <w:r>
        <w:drawing>
          <wp:inline xmlns:a="http://schemas.openxmlformats.org/drawingml/2006/main" xmlns:pic="http://schemas.openxmlformats.org/drawingml/2006/picture">
            <wp:extent cx="5897880" cy="2373376"/>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2373376"/>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Additional locked SPADE evidence (C4 and C6).</w:t>
      </w:r>
      <w:r>
        <w:rPr>
          <w:rFonts w:ascii="Times New Roman" w:hAnsi="Times New Roman" w:eastAsia="Times New Roman" w:cs="Times New Roman"/>
          <w:color w:val="000000"/>
          <w:sz w:val="20"/>
        </w:rPr>
        <w:t xml:space="preserve"> (A) Point-regret advantage of three-round SPADE over one-shot Latin hypercube sampling (LHS minus SPADE = +0.0783; n = 80; locked C4 mean). Higher values favor SPADE. (B) On the biology-shaped Hill family at prevalence 0.70, SPADE answered 40/64 regions versus 27/64 for qLogNEI; both arms contained truth in every answered cell (descriptive counts; C6).</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lockbox</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a development outcome that selected no protocol, no post-hoc power calculation was authorized, and the held-out confirmation store remained a frozen, unopened confirmation store. No lockbox evidence was opened.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joint-protocol a development outcome that selected no protocol, and unopened lockbox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SPADE performed better for the tested operating-region decision: at matched five rounds it returned greater certified volume than qLogNEI, and its answered DC regions had stronger observed containment than the tested DoE pipelines. That regional conclusion coexists with no detectable point-regret difference from longer qLogNEI, an interval that did not establish equivalence, and a clear adverse result in which three-round DoE found a better point recipe than five-round SPADE.</w:t>
      </w:r>
    </w:p>
    <w:p>
      <w:pPr>
        <w:widowControl/>
      </w:pPr>
      <w:r>
        <w:rPr>
          <w:rFonts w:ascii="Times New Roman" w:hAnsi="Times New Roman" w:eastAsia="Times New Roman" w:cs="Times New Roman"/>
          <w:color w:val="000000"/>
          <w:sz w:val="24"/>
        </w:rPr>
        <w:t>Choose SPADE when a moderate-noise, fixed-well campaign must return a conservative operating region and may abstain; choose a point optimizer when only one recipe is required. SPADE’s regional advantage is conditional honesty among answered campaigns, not a higher unconditional hit rate than DoE. These computational results do not establish recipe equivalence, manufacturing qualification, regulatory validation, or prospective wet-lab performance.</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