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SPADE improves operating-region decisions under fixed experimental budgets: a synthetic comparison with Bayesian optimization and response-surface design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Short title: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Fixed-budget operating-region decisions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Kwan¹*, Joseph Yung²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Affiliations: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¹ Department of Chemical Engineering,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² Department of Industrial Engineering and Operations Research,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Corresponding author: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 (11281128alana@gmail.com)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 emails: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Kwan, 11281128alana@gmail.com; Joseph Yung, josephyung33@gmail.com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Abstract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 experimental campaign may need one optimized recipe or a conservative operating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region; these are different decisions. We evaluated SPADE, an assay-oriented integration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established Gaussian-process level-set and conservative-set methods, against noisy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Bayesian optimization (qLogNEI) and a response-surface design of experiments (DoE)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synthetic families under 48-well budgets. Primary matched-round evidence came first: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 rounds, SPADE returned greater certified volume than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(+0.000855, 95% CI [+0.000691, +0.001028], p &lt; 0.0001, n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family-seed-prevalence cells under leave-one-family-out calibration). Thus SPADE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better for the tested operating-region decision, not universally better. In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one-process point comparison, five-round SPADE showed no detectable regret difference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from ten-round qLogNEI (-0.0005, 95% CI [-0.0221, +0.0207], p = 0.96, n = 160),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but the interval did not establish equivalence. The adverse DoE result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substantial: screened three-round DoE found the better point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(+0.1026 SPADE-minus-DoE regret, 95% CI [+0.0486, +0.1578], p = 0.0003),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while five-round SPADE answered 66/160 regional decisions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contained truth in 66/66, compared with 85/122 and 77/134 contained answers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screened and unscreened DoE. Flat-cell intervals are conditional and dependence may make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them too narrow. Results are limited to the tested synthetic benchmark, moderate noise,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finite grids, and calibration rules; they do not establish regulatory qualification 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Introduction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Cell-culture media, extracellular-matrix composition, and bioprocess parameters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chosen jointly, so even a modest factor grid can exceed a practical assay budget.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Classical response-surface methodology provides screening, sequential movement,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local modelling [1–3]. Bayesian optimization (BO) instead fits a probabilistic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surrogate and allocates observations to improve an objective [4–6]. Both approaches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in biological and bioprocess development [7–12].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decision made after sampling matters as much as the sampling rule. One laboratory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 single carry-forward recipe, appropriately scored by point regret. Another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an operating region: a set of compositions expected to exceed a specification,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 an explicit option to abstain when the evidence is insufficient. A method can find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strong point while learning little about the surrounding region, or map a region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without finding the global optimum. Point regret, map error, answer rate,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containment, and certified volume are therefore distinct estimands.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 estimation is not new. Gaussian-process (GP) level-set classification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boundary-focused batch sampling are established [13], as are conservative excursion-set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estimators based on posterior inclusion [14] and methods such as TruVaR that connect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optimization with level-set learning [15]. qLogNEI is a modern noisy expected-improvement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 [16]. Proper scoring separates probabilistic forecasts from downstream decisions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[17], while BoTorch supplies established computational components [18]. Recent synthetic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batch-BO work further shows that noise and geometry can alter rankings [19], and good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simulation-study practice requires explicit estimands and data-generating scope [20].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is an assay-oriented architecture built from these established ingredients,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new excursion-set theory. It combines a space-filling opening, adaptive high-response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sampling, a common posterior conservative-set estimator that can also score 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observations, and abstention. Its acquisition should not be described as successfully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threshold-targeted: a registered target-aligned variant failed its adoption gate.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scientific question is instead whether this architecture improves the tested regional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decision while honestly retaining point-optimization trade-offs.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report six linked findings. C3 asks whether matched five-round SPADE returns greater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 volume than qLogNEI. C1 asks whether five-round SPADE differs detectably from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ten-round qLogNEI on point regret. C2 compares regional containment and point regret with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screened and one unscreened response-surface DoE pipeline. C5 and C6 examine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family/prevalence scope. S2 and S3 diagnose real-data posterior collapse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assay-specific calibration. Finally, S1, a real-noise ceiling, and a later</w:t>
      </w:r>
    </w:p>
    <w:p>
      <w:pPr>
        <w:widowControl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gate define where positive interpretation must stop.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Materials and methods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Study design and evidence roles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confirmatory DC and LC programs used five synthetic response families—Ackley,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Hartmann6, biphasic Hill, Levy, and Rosenbrock—32 deterministic seeds per family,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 normalized factors, 48 measured wells, and relative observation noise 0.25.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TAU used 64 seeds per family. Hill varied by registered instance; other evaluators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fixed landscapes with design and noise varying by seed. Known latent truth was used only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synthetic scoring. These landscapes are structural test functions, not fits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endothelial-cell measurements.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latent normalized response </w:t>
      </w:r>
      <m:oMath>
        <m:box>
          <m:e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6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the threshold </w:t>
      </w:r>
      <m:oMath>
        <m:box>
          <m:e>
            <m:r>
              <m:rPr>
                <m:sty m:val="i"/>
              </m:rPr>
              <m:t>τ</m:t>
            </m:r>
          </m:e>
        </m:box>
      </m:oMath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the instance-specific truth quantile that produced the registered target prevalence</w:t>
      </w:r>
    </w:p>
    <w:p>
      <w:pPr>
        <w:widowControl/>
      </w:pP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The acceptable region was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Thresholds were computed on a 20,000-point Sobol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grid with seed 0. A 2,000-point Sobol certificate-candidate and scoring subset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the same seed was used for posterior-region construction and truth-containment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scoring. Each certificate used 4,096 joint posterior draws and 64 nested Vorob'ev levels.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DC supplied the one-process point comparison (C1) and DoE comparison (C2). LC supplied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leave-one-family-out matched-round comparison (C3). TAU supplied the prevalence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margin-to-noise analyses (C5/C6). TT tested the proposed targeting mechanism (S1).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in-house and published Hall–Ogle data supplied supporting uncertainty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diagnostics (S2/S3), not prospective validation.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synthetic arms used 48 wells. SPADE at three rounds used an opening of 32 followed by two batches of 8; SPADE at five rounds used an opening of 16 followed by four batches of 8. Matched qLogNEI R3 and R5 used the same respective allocations. qLogNEI R10 used a 14-point Sobol opening, eight batches of four, and a final batch of two. The screened DoE R3 workflow used a 20-run six-factor screen, a 27-run four-factor face-centred response-surface design, and one confirmation well. The registered unscreened comparator omitted screening, used one 47-run full-dimensional face-centred central-composite design, and measured one confirmation well; it retained the protocol's DoE R3 comparator label even though its executed measurements comprise design and confirmation stages. Equal wells therefore did not mean equal sequential rounds.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1. Method selection under a fixed 48-well budget. Choose SPADE when the campaign must return a trusted operating region with honest abstention. Choose a point optimizer (DoE or BO) when only one carry-forward recipe is required. Under very high assay-like noise, abstain and replicate rather than claiming a region.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48-well campaign. (B) The same sampled campaign supports a point decision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 a region decision, including abstention. (C) The estimand ledger distinguishes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reported object, observability, score, extra wells, and rounds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deliverable. This schematic defines the benchmark and contains no performance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architecture and comparators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 followed</w:t>
      </w:r>
    </w:p>
    <w:p>
      <w:pPr>
        <w:widowControl/>
      </w:pP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ϵ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η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with</w:t>
      </w:r>
    </w:p>
    <w:p>
      <w:pPr>
        <w:widowControl/>
      </w:pPr>
      <m:oMath>
        <m:box>
          <m:e>
            <m:r>
              <m:rPr>
                <m:sty m:val="i"/>
              </m:rPr>
              <m:t>ϵ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and</w:t>
      </w:r>
    </w:p>
    <w:p>
      <w:pPr>
        <w:widowControl/>
      </w:pPr>
      <m:oMath>
        <m:box>
          <m:e>
            <m:r>
              <m:rPr>
                <m:sty m:val="i"/>
              </m:rPr>
              <m:t>η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SPADE and qLogNEI supplied the GP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raw-unit plug-in variance</w:t>
      </w:r>
    </w:p>
    <w:p>
      <w:pPr>
        <w:widowControl/>
      </w:pPr>
      <m:oMath>
        <m:box>
          <m:e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i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computed from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value rather than latent truth. The DoE adapters lacked per-well variances and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their registered arm-constant plug-in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sSup>
              <m:e>
                <m:limUpp>
                  <m:e>
                    <m:box>
                      <m:e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e>
                    </m:box>
                  </m:e>
                  <m:lim>
                    <m:r>
                      <m:rPr>
                        <m:sty m:val="p"/>
                      </m:rPr>
                      <m:t>―</m:t>
                    </m:r>
                  </m:lim>
                </m:limUpp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common outcome model was a fixed-noise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SingleTaskGP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 explicit unit-box input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normalization, standardized outcomes, a fitted constant mean, and a scaled Matérn-5/2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kernel with automatic relevance determination and a dimension-scaled length-scale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prior. Hyperparameters were fitted by exact marginal likelihood. SPADE began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Sobol space-filling opening, refitted after every later batch, and used its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straddle implementation for adaptive high-response sampling.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implemented historical acquisition is retained because the target-aligned replacement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did not demonstrate improvement or earn adoption and worsened regret; no claim here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attributes the results to successful threshold targeting.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posterior draw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finite-grid excursion set was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sSup>
              <m:e>
                <m:r>
                  <m:rPr>
                    <m:sty m:val="i"/>
                  </m:rPr>
                  <m:t>f</m:t>
                </m:r>
              </m:e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p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the 2,000-point scoring grid.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4,096 draws formed a coverage function and 64 nested Vorob'ev candidates.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inflation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3.0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common downstream estimator returned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largest scanned candidate whose same-draw Monte Carlo posterior joint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reached alpha=0.95. “Largest” means largest in that finite nested family, not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global optimum over all continuous subsets. If no non-empty candidate passed,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procedure abstained.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used the same GP outcome model and well budget while allocating batches by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noisy expected improvement. Its observations were passed through the common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estimator; regional certificates are therefore common post-processing,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an intrinsic qLogNEI output. Screened DoE used a 20-run six-factor screen, a 27-run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face-centred response-surface design in four factors, and one confirmation well.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unscreened arm retained the low-order workflow without screening. These implementations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 not represent all BO or classical-design methods.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Outcomes and calibration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terminal point recommendation was the visited condition with the largest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response; it was then scored by latent truth. Because each family was normalized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optimum one, simple regret was </w:t>
      </w:r>
      <m:oMath>
        <m:box>
          <m:e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limUpp>
              <m:e>
                <m:r>
                  <m:rPr>
                    <m:sty m:val="i"/>
                  </m:rPr>
                  <m:t>x</m:t>
                </m:r>
              </m:e>
              <m:lim>
                <m:r>
                  <m:rPr>
                    <m:sty m:val="p"/>
                  </m:rPr>
                  <m:t>^</m:t>
                </m:r>
              </m:lim>
            </m:limUp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This prevents crediting a method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visiting a strong point that its noisy observations did not identify.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regional answered outcome was a non-empty returned conservative set.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recorded whether an answered set was a subset of the known synthetic acceptable region;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answer rate was answered divided by eligible cells, conditional empirical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contained divided by answered, and certified volume was the returned fraction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2,000-point scoring grid. Abstention was not counted as containment.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cross-cell gate required a one-sided 95% Clopper–Pearson lower bound of at least 0.90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among answered cells and answer rate of at least 0.05.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C3 selected the smallest posterior inflation c that passed the registered rule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four families and evaluated volume on the held-out fifth family. It pooled prevalence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0.30 and 0.10, yielding five families x 32 seeds x two prevalences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family-seed-prevalence cells. C2 used a weaker procedure: SPADE selected c=1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DC cells themselves. Neither DoE arm passed at any tested inflation, so its reported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counts are fallback diagnostics at baseline c=1. C2 is within-sample and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transportable; it is not the held-out-family calibration used for C3.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Earlier prospective map scoring used a fixed 0.50 cutoff. Its archived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 is a posterior self-consistency check, not empirical containment against the oracle.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retrospective terminal-rule comparison also used a common GP for all arms: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20,000-point screen, twenty restarts and 4,096 raw starts. Earlier quadratic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response-surface diagnostics are separate and are not substituted for that recommender.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Statistical analysis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were paired by family and seed or by family, seed, and prevalence. Frozen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analysers used 8,000 ordinary nonparametric resamples of flat contrast rows, percentile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intervals, and two-sided bootstrap tail-area proportions relative to zero.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flat-cell bootstrap treats cells as exchangeable. Because rows can share families,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landscapes, seeds, prevalences, and campaigns, its intervals are conditional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summaries and may be too narrow under dependence; cells are not independent campaigns.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Pooled Clopper–Pearson bounds similarly assume an ordinary binomial model.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regret smallest effect of interest was 0.02. An interval extending beyond that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 was not interpreted as equivalence. The C5 Spearman coefficient is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over 25 nested, nonexchangeable family-prevalence cells; no naive independence-based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p-value is interpreted.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Reproducibility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Analyses used Python 3.11 with PyTorch, GPyTorch, BoTorch, NumPy, SciPy, pandas,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scikit-learn. Frozen inputs, producing commands, exact estimates, guard coverage,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limitations are indexed in </w:t>
      </w: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The active PLOS source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remains in this repository. Consolidated C1–C6/S1 provenance is pinned to repository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commit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ec14bc7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the ledger gives portable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git 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detached-worktree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instructions. No frozen result was changed for this rewrite.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Artificial intelligence assistance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OpenAI Codex (GPT-based coding assistant) assisted with manuscript drafting and revision,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source-code inspection, figure-generation scripts, and document formatting. The authors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reviewed and edited all AI-assisted text and take responsibility for the scientific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interpretation, references, code, figures, and reported results. No generative AI system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used to create experimental data.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Matched five-round SPADE returned greater certified 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 states the local certification dimensions for C3. Under registered LOFO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calibration, five-round SPADE returned greater certified volume than five-round qLogNEI: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SPADE-minus-qLogNEI difference was +0.000855 (95% CI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[+0.000691, +0.001028], p &lt; 0.0001, n = 320 dependent cells).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is the primary result supporting SPADE for the tested operating-region decision.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does not establish a universal method ranking. The analogous positive three-round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claim was withdrawn after extension to 32 seeds.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2. SPADE’s primary advantage: trusted operating regions. (A) Certified-volume difference (SPADE minus qLogNEI) at matched five rounds under leave-one-family-out calibration: +0.000855 (95% CI [+0.000691, +0.001028], p &lt; 0.0001, n = 320); absolute means are noted under the panel. (B) Observed truth containment among answered regions at prevalence 0.30: SPADE 66/66 versus screened DoE 85/122 and unscreened DoE 77/134.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1. C3 matched-round regional comparison.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 w:val="true"/>
        </w:trPr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Noise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Assurance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Calibration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Seeds and denominator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synthetic families; SPADE vs qLogNEI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 and 0.10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LOFO inflation over c={1,1.5,2,3}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 vs R5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32/family; 320 dependent family-seed-prevalence cells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Volume difference +0.000855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Point regret showed no detectable difference from longer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DC, SPADE R5 minus qLogNEI R10 regret was -0.0005 (95% CI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[-0.0221, +0.0207], p = 0.96, n = 160, five families x 32 seeds).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used 48 wells. This is no detectable regret difference, not equivalence: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extends slightly beyond the registered ±0.02 effect boundary, and neither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calendar duration nor cost was measured.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3. Point-recipe trade-off (secondary to the region decision). (A) SPADE at five rounds minus qLogNEI at ten rounds on simple regret: no detectable difference (-0.0005, 95% CI [-0.0221, +0.0207], n = 160); not claimed as equivalence. (B) SPADE at five rounds minus screened DoE at three rounds: DoE finds the better single recipe (+0.1026, 95% CI [+0.0486, +0.1578]); expected when the goal is one point rather than a region.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DoE found a better point recipe but weaker regional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adverse point result is essential: screened DoE found the better point recipe 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three rounds. SPADE R5 minus screened-DoE R3 regret was +0.1026 (95% CI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[+0.0486, +0.1578], p = 0.0003, n = 160). SPADE used five rounds.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evidence moved in the opposite direction (Table 2). At prevalence 0.30,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relative noise 0.25, assurance 0.95, 48 wells, and five families x 32 seeds,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selected c=1 within the same DC sample, answered 66/160, and contained truth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66/66 answered regions (observed conditional containment 1.0000,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binomial lower bound 0.9556). Neither DoE arm passed at any inflation, so baseline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c=1 diagnostics are reported: screened DoE answered 122/160 and contained 85/122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(0.6967); unscreened DoE answered 134/160 and contained 77/134 (0.5746).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within-sample descriptive results do not condemn DoE as a class or establish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 coverage.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2. C2 regional answers and point trade-off.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  <w:tblHeader w:val="true"/>
        </w:trPr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Arm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Prevalence; noise; assurance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rounds; seeds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Inflation rule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Answered</w:t>
            </w:r>
          </w:p>
        </w:tc>
        <w:tc>
          <w:tcPr>
            <w:tcW w:type="dxa" w:w="1338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Contained among answers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SPADE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Within-DC selected c=1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66/66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No passing c; baseline c=1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122/160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85/122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Unscreened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No passing c; baseline c=1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134/160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77/134</w:t>
            </w:r>
          </w:p>
        </w:tc>
      </w:tr>
    </w:tbl>
    <w:p>
      <w:pPr>
        <w:spacing w:after="40"/>
      </w:pP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4. Additional locked SPADE evidence. (A) At three rounds SPADE has lower regret than one-shot Latin hypercube sampling (SPADE−LHS −0.0783; shown as positive SPADE advantage). (B) On the biology-shaped Hill family at prevalence 0.70, SPADE answers 40/64 trusted regions versus 27/64 for qLogNEI; both arms contain truth in every answered cell.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Certifiability depended on family, prevalence, and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Across five families and prevalences 0.70, 0.50, 0.30, 0.20, and 0.10, SPADE answer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rate at c=1, alpha=0.95, 48 wells, R5, relative noise 0.25, and 64 seeds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 was descriptively associated with mean seed-specific true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(Spearman rho = 0.988; 25 nested family-prevalence cells). The diagnostic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latent truth and is explanatory, not available prospectively. Shared families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ordered prevalences make the cells dependent and nonexchangeable.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the biology-shaped but synthetic Hill family at prevalence 0.70, under those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same settings, SPADE answered 40/64 and contained truth in 40/40 (ordinary-binomial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lower bound 0.9278). qLogNEI answered 27/64 and contained 27/27; its limitation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answer count required by the registered gate, not failure to return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 marginalisation diagnosed real-data posterior collapse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Treating the fitted GP mean as fixed had little effect in synthetic diagnostics: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mean-marginalised posterior width increased by 1.004x–1.011x. The same correction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increased mean posterior marginal SD approximately 484x for the in-house candidate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dataset and 297x for published Hall–Ogle data. Observation-prediction LOO inflation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assay-specific (c=0.712 in-house and c=0.526 published). These S2/S3 values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retrospective, stdout-reproduced support without structured numerical guards. LOO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prediction does not identify latent-function uncertainty, and the in-house CD31 gates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remain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awaiting_human_signoff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Failed targeting, the real-noise ceiling, and the unopened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target-aligned acquisition did not earn adoption. Relative to committed SPADE, its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certified-volume change was +0.000425 (95% CI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[-0.000022, +0.000875]) and its regret was worse by +0.0301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(95% CI [+0.0169, +0.0450], p &lt; 0.0001). Family effects cancelled. This failure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why SPADE's value is described architecturally rather than as a successful targeting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mechanism.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measured real-assay relative noise 0.68, no tested arm certified. Replication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independent noise identification are therefore prerequisites for prospective use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noise level.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later future-response development grid evaluated nine candidate protocols on five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families. Table 3 reports its preserved ranges; every candidate missed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containment floor on at least one family. The selector returned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power artifact was authorized, and the lockbox remained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FROZEN_UNOPENED</w:t>
      </w:r>
      <w:r>
        <w:rPr>
          <w:rFonts w:ascii="Times New Roman" w:hAnsi="Times New Roman" w:eastAsia="Times New Roman" w:cs="Times New Roman"/>
          <w:color w:val="000000"/>
          <w:sz w:val="24"/>
        </w:rPr>
        <w:t>. No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evidence was opened.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3. Joint-protocol development ranges across nine candidates.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Family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 count range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Empirical containment range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Hill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49–50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0.140–0.490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Ackley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0.320–0.820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Hartmann6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0.440–0.940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47–49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0.213–0.333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Rosenbrock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0.061–0.320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Discussion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primary conclusion is decision-specific. At five matched rounds, SPADE produced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greater certified volume than qLogNEI under registered LOFO calibration. In the DC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 its answered regions also had stronger observed truth containment than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tested DoE pipelines. Those findings support SPADE when the requested deliverable is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 operating region and abstention is acceptable.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They do not support a universal ranking. The qLogNEI point comparison showed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detectable difference and did not establish equivalence. Screened DoE found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substantially better point recipe in fewer rounds. A laboratory requiring one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rationally prefer a point optimizer; a laboratory requiring a region faces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different loss function.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integration and evidence, not theoretical priority. GP level-set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learning, Vorob'ev summaries, simultaneous posterior inclusion, and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excursion sets are established. SPADE adapts them to a fixed-well assay architecture,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common regional post-processing across comparator observations, and permits 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empty answer. The failed target-alignment experiment prevents attributing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result to successful threshold targeting.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Scope and limitations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comparative landscapes were synthetic, the domain was evaluated on finite grids,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and headline noise was 0.25. Families, seeds, target prevalences, kernels, acquisition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implementations, and one 48-well budget bound the result. The tested DoE is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response-surface pipeline and qLogNEI is one BO acquisition.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Inference is conditional on the frozen benchmark. The flat-cell bootstrap may be too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narrow because repeated family-seed-prevalence cells are dependent. Pooled 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bounds do not become cluster-aware merely because they are exact under an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Bernoulli model. C2 calibration is within-sample; only C3 holds a family out during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inflation selection. Neither procedure supplies distribution-free or regulatory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coverage.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real-data analyses are retrospective diagnostics. They do not establish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equivalence, manufacturing qualification, regulatory validation, or prospective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performance. The relative-noise ceiling, unsigned in-house gates, missing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replicate-tube noise identification, joint-protocol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and unopened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lockbox preclude such claims.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Relationship to published and retained evidence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4 situates the contribution. Physical and biological optimization studies provide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relevance but usually answer different budget and decision questions.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Methodological papers supply the level-set and conservative-set foundations.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present simulation offers known truth but no biological validation.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4. Selected precedents and scope.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Evidence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Decision or method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Relationship to this study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Hall, Lin, and Ogle [7]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Experimental-design study of extracellular matrix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Published assay-shape support; not a SPADE campaign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Rummukainen et al. [8]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Physical DoE and adaptive optimization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Wet-process evidence with a different budget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Lapierre et al. [9]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Multicycle BO and two-step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Biological growth outcome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Gotovos et al. [13]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Level-set classification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level-set precedent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Azzimonti et al. [14]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Conservative excursion sets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Close estimator antecedent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Bogunovic et al. [15]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TruVaR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Optimization/level-set connection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Present study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Point and conservative-region decisions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Fixed-well synthetic comparison with abstention</w:t>
            </w:r>
          </w:p>
        </w:tc>
      </w:tr>
    </w:tbl>
    <w:p>
      <w:pPr>
        <w:spacing w:after="40"/>
      </w:pP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5. Contribution and novelty boundary.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Element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Classification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Present contribution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GP excursion sets, boundary learning, Vorob'ev candidates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Integrated, not claimed as new theory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qLogNEI and response-surface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comparator ingredients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Implemented as specific fixed-budget pipelines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Per-well variances, round schedules, empty answer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Assay-oriented adaptation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Operational SPADE architecture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Common conservative-region estimator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Comparative-design choice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Separates observations from regional post-processing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Regret, volume, answers, and truth containment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Empirical evidence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Bounded to named synthetic settings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Conclusions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performed better for the tested operating-region decision: at matched five rounds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returned greater certified volume than qLogNEI, and its answered DC regions had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stronger observed containment than the tested DoE pipelines. That regional conclusion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coexists with no detectable point-regret difference from longer qLogNEI, an interval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did not establish equivalence, and a clear adverse result in which three-round DoE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found a better point recipe than five-round SPADE.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Choose SPADE when a moderate-noise, fixed-well campaign must return a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operating region and may abstain; choose a point optimizer when only one recipe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required. These computational results do not establish recipe equivalence,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manufacturing qualification, regulatory validation, or 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 availability statement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Primary result files, analysis scripts, protocols, and supporting tables are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the project repository at https://github.com/akwnn/nutrigene-ai-bo-ipsec. Original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software is released under the MIT License; original research materials (manuscript,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figures, synthetic datasets, and retained results) are released under CC BY 4.0 (see</w:t>
      </w:r>
    </w:p>
    <w:p>
      <w:pPr>
        <w:widowControl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>LICENSE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LICENSE-CONTENT.md</w:t>
      </w:r>
      <w:r>
        <w:rPr>
          <w:rFonts w:ascii="Times New Roman" w:hAnsi="Times New Roman" w:eastAsia="Times New Roman" w:cs="Times New Roman"/>
          <w:color w:val="000000"/>
          <w:sz w:val="24"/>
        </w:rPr>
        <w:t>). Audited reproduction paths are indexed in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A DOI-bearing archival deposit remains pending;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repository is the current source of the materials described here.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Author contributions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Alana Wai Han Kwan: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Formal analysis; Investigation; Methodology;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Project administration; Validation; Visualization; Writing – original draft; Writing –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Joseph Yung: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Data curation; Formal analysis; Investigation;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Methodology; Software; Validation; Writing – 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Roles follow the CRediT taxonomy.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Acknowledgments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thank the Obermeyer Research Group at Columbia University for research context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multicomponent formulation design. Computational experiments used synthetic landscapes;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 wet-lab samples were generated for this study.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References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1. Box GEP, Wilson KB. On the experimental attainment of optimum conditions. J R Stat Soc Series B Stat Methodol. 1951;13:1–38. doi:10.1111/j.2517-6161.1951.tb00067.x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2. Box GEP, Draper NR. Empirical model-building and response surfaces. New York: Wiley; 1987.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3. Myers RH, Montgomery DC, Anderson-Cook CM. Response surface methodology: Process and product optimization using designed experiments. 4th ed. Hoboken: Wiley; 2016.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4. Močkus J. On Bayesian methods for seeking the extremum. In: Marchuk GI, editor. Optimization techniques IFIP Technical Conference. Berlin: Springer; 1975. p. 400–404. doi:10.1007/3-540-07165-2_55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5. Jones DR, Schonlau M, Welch WJ. Efficient global optimization of expensive black-box functions. J Glob Optim. 1998;13:455–492. doi:10.1023/A:1008306431147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6. Frazier PI. A tutorial on Bayesian optimization. arXiv:1807.02811 [Preprint]. 2018 [cited 2026 Aug 26]. Available from: https://arxiv.org/abs/1807.02811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7. Hall ML, Lin W-H, Ogle BM. Optimizing extracellular matrix for endothelial differentiation using a design of experiments approach. Sci Rep. 2025;15:24479. doi:10.1038/s41598-025-09256-9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8. Rummukainen H, Hörhammer H, Kuusela P, Kilpi J, Sirviö J, Mäkelä M. Traditional or adaptive design of experiments? A pilot-scale comparison on wood delignification. Heliyon. 2024;10:e24484. doi:10.1016/j.heliyon.2024.e24484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9. Lapierre F, Mattaliano P, Raith D, Castillo-Cota M, Bermeitinger J, Huber R. Multi-cycle high-throughput growth media optimization using batch Bayesian optimization. J Chem Technol Biotechnol. 2025;100:1571–1583. doi:10.1002/jctb.7860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10. Ndahiro N, Ma E, Bertalan T, Donohue M, Kevrekidis Y, Betenbaugh M. Integration of Bayesian optimization and solution thermodynamics to optimize media design for mammalian biomanufacturing. iScience. 2025;28:112944. doi:10.1016/j.isci.2025.112944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11. Narayanan H, Hinckley JA, Barry R, Dang B, Wolffe LA, Atari A, Tseng Y-Y, Love JC. Accelerating cell culture media development using Bayesian optimization-based iterative experimental design. Nat Commun. 2025;16:6055. doi:10.1038/s41467-025-61113-5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12. Gisperg F, Klausser R, Elshazly M, Kopp J, Přáda Brichtová E, Spadiut O. Bayesian optimization in bioprocess engineering—Where do we stand today? Biotechnol Bioeng. 2025;122:1313–1325. doi:10.1002/bit.28960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13. Gotovos A, Casati N, Hitz G, Krause A. Active learning for level set estimation. Proceedings of the Twenty-Third International Joint Conference on Artificial Intelligence. 2013. Available from: https://people.csail.mit.edu/alkisg/files/gotovos13active.pdf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14. Azzimonti D, Ginsbourger D, Chevalier C, Bect J, Richet Y. Adaptive design of experiments for conservative estimation of excursion sets. Technometrics. 2021;63:13–26. doi:10.1080/00401706.2019.1693427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15. Bogunovic I, Scarlett J, Krause A, Cevher V. Truncated variance reduction: A unified approach to Bayesian optimization and level-set estimation. Advances in Neural Information Processing Systems. 2016;29. Available from: https://papers.neurips.cc/paper_files/paper/2016/hash/ce78d1da254c0843eb23951ae077ff5f-Abstract.html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16. Ament S, Daulton S, Eriksson D, Balandat M, Bakshy E. Unexpected improvements to expected improvement for Bayesian optimization. Advances in Neural Information Processing Systems. 2023;36. Available from: https://proceedings.neurips.cc/paper_files/paper/2023/hash/419f72cbd568ad62183f8132a3605a2a-Abstract-Conference.html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17. Gneiting T, Raftery AE. Strictly proper scoring rules, prediction, and estimation. J Am Stat Assoc. 2007;102:359–378. doi:10.1198/016214506000001437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18. Balandat M, Karrer B, Jiang D, Daulton S, Letham B, Wilson AG, et al. BoTorch: A framework for efficient Monte-Carlo Bayesian optimization. Advances in Neural Information Processing Systems. 2020;33. Available from: https://proceedings.neurips.cc/paper/2020/hash/f5b1b89d98b7286673128a5fb112cb9a-Abstract.html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19. Mia I, Tiihonen A, Ernst A, Srivastava A, Buonassisi T, Vandenberghe W, et al. Multi-variable batch Bayesian optimization in materials research: Synthetic data analysis of noise sensitivity and problem landscape effects. J Mater Res. 2026;41:927–948. doi:10.1557/s43578-026-01803-y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20. Morris TP, White IR, Crowther MJ. Using simulation studies to evaluate statistical methods. Stat Med. 2019;38:2074–2102. doi:10.1002/sim.8086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Supporting information captions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Main text Figures 1–4 follow the region-first presentation: method selection (Fig 1),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SPADE’s certified-volume and containment advantage (Fig 2), the secondary point-recipe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trade-off (Fig 3), and additional locked SPADE evidence C4/C6 (Fig 4). Numeric sources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are in </w:t>
      </w:r>
      <w:r>
        <w:rPr>
          <w:rFonts w:ascii="Courier New" w:hAnsi="Courier New" w:eastAsia="Courier New" w:cs="Courier New"/>
          <w:color w:val="000000"/>
          <w:sz w:val="22"/>
        </w:rPr>
        <w:t>publication/manuscript/CLAIMS-AND-SOURCES.md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research/results/comparisons/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S1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historical Rule A versus Rule P terminal-rule rows.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Motivation only; not a current C1 claim.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S2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historical two-round map-error contrasts.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Motivation only; not a current C3 claim.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S3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older posterior self-consistency checks.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do not replace empirical containment or the C3 certified-volume result.</w:t>
      </w:r>
    </w:p>
    <w:sectPr w:rsidR="00FC693F" w:rsidRPr="0006063C" w:rsidSect="00034616">
      <w:footerReference w:type="default" r:id="rId9"/>
      <w:pgSz w:w="12240" w:h="15840"/>
      <w:pgMar w:top="1440" w:right="1440" w:bottom="2160" w:left="1440" w:header="708" w:footer="708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0"/>
      </w:rPr>
      <w:t xml:space="preserve">Page </w:t>
    </w:r>
    <w:r>
      <w:rPr>
        <w:rFonts w:ascii="Times New Roman" w:hAnsi="Times New Roman" w:eastAsia="Times New Roman" w:cs="Times New Roman"/>
        <w:color w:val="00000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8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SPADE improves operating-region decisions under fixed experimental budgets: a synthetic comparison with Bayesian optimization and response-surface design</dc:title>
  <dc:subject>PLOS ONE research article manuscript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