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240" w:line="240" w:lineRule="auto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SPADE improves operating-region decisions under fixed experimental budgets: a synthetic comparison with Bayesian optimization and response-surface design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Short title: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Fixed-budget operating-region decisions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Authors: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Alana Wai Han Kwan¹*, Joseph Yung²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Affiliations: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¹ Department of Chemical Engineering, Columbia University, New York, New York, United States of America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² Department of Industrial Engineering and Operations Research, Columbia University, New York, New York, United States of America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Corresponding author: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Alana Wai Han Kwan¹ (11281128alana@gmail.com)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Author emails: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Alana Wai Han Kwan, 11281128alana@gmail.com; Joseph Yung, josephyung33@gmail.com</w:t>
      </w:r>
    </w:p>
    <w:p>
      <w:r>
        <w:br w:type="page"/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Abstract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 experimental campaign may need one optimized recipe or a conservative operating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region; these are different decisions. We evaluated SPADE, an assay-oriented integration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of established Gaussian-process level-set and conservative-set methods, against noisy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Bayesian optimization (qLogNEI) and a response-surface design of experiments (DoE)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synthetic families under 48-well budgets. Primary matched-round evidence came first: at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five rounds, SPADE returned greater certified volume than qLogNEI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(+0.000855, 95% CI [+0.000691, +0.001028], p &lt; 0.0001, n = 320 dependent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family-seed-prevalence cells under leave-one-family-out calibration). Thus SPADE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better for the tested operating-region decision, not universally better. In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one-process point comparison, five-round SPADE showed no detectable regret difference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from ten-round qLogNEI (-0.0005, 95% CI [-0.0221, +0.0207], p = 0.96, n = 160),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but the interval did not establish equivalence. The adverse DoE result was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substantial: screened three-round DoE found the better point 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(+0.1026 SPADE-minus-DoE regret, 95% CI [+0.0486, +0.1578], p = 0.0003),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while five-round SPADE answered 66/160 regional decisions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contained truth in 66/66, compared with 85/122 and 77/134 contained answers for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screened and unscreened DoE. Flat-cell intervals are conditional and dependence may make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them too narrow. Results are limited to the tested synthetic benchmark, moderate noise,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finite grids, and calibration rules; they do not establish regulatory qualification 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prospective wet-lab performance.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Introduction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Cell-culture media, extracellular-matrix composition, and bioprocess parameters are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chosen jointly, so even a modest factor grid can exceed a practical assay budget.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Classical response-surface methodology provides screening, sequential movement,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low-order local modelling [1–3]. Bayesian optimization (BO) instead fits a probabilistic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surrogate and allocates observations to improve an objective [4–6]. Both approaches are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used in biological and bioprocess development [7–12].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decision made after sampling matters as much as the sampling rule. One laboratory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may need a single carry-forward recipe, appropriately scored by point regret. Another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may need an operating region: a set of compositions expected to exceed a specification,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with an explicit option to abstain when the evidence is insufficient. A method can find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strong point while learning little about the surrounding region, or map a region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without finding the global optimum. Point regret, map error, answer rate, empirical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truth containment, and certified volume are therefore distinct estimands.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 estimation is not new. Gaussian-process (GP) level-set classification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boundary-focused batch sampling are established [13], as are conservative excursion-set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estimators based on posterior inclusion [14] and methods such as TruVaR that connect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optimization with level-set learning [15]. qLogNEI is a modern noisy expected-improvement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 [16]. Proper scoring separates probabilistic forecasts from downstream decisions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[17], while BoTorch supplies established computational components [18]. Recent synthetic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batch-BO work further shows that noise and geometry can alter rankings [19], and good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simulation-study practice requires explicit estimands and data-generating scope [20].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 is an assay-oriented architecture built from these established ingredients, not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new excursion-set theory. It combines a space-filling opening, adaptive high-response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sampling, a common posterior conservative-set estimator that can also score comparator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observations, and abstention. Its acquisition should not be described as successfully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threshold-targeted: a registered target-aligned variant failed its adoption gate.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scientific question is instead whether this architecture improves the tested regional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decision while honestly retaining point-optimization trade-offs.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 report six linked findings. C3 asks whether matched five-round SPADE returns greater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certified volume than qLogNEI. C1 asks whether five-round SPADE differs detectably from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ten-round qLogNEI on point regret. C2 compares regional containment and point regret with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 screened and one unscreened response-surface DoE pipeline. C5 and C6 examine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family/prevalence scope. S2 and S3 diagnose real-data posterior collapse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assay-specific calibration. Finally, S1, a real-noise ceiling, and a later</w:t>
      </w:r>
    </w:p>
    <w:p>
      <w:pPr>
        <w:widowControl/>
      </w:pPr>
      <w:r>
        <w:rPr>
          <w:rFonts w:ascii="Times New Roman" w:hAnsi="Times New Roman" w:eastAsia="Times New Roman" w:cs="Times New Roman"/>
          <w:i/>
          <w:color w:val="000000"/>
          <w:sz w:val="24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development gate define where positive interpretation must stop.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Materials and methods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Study design and evidence roles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confirmatory DC and LC programs used five synthetic response families—Ackley,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Hartmann6, biphasic Hill, Levy, and Rosenbrock—32 deterministic seeds per family,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six normalized factors, 48 measured wells, and relative observation noise 0.25.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TAU used 64 seeds per family. Hill varied by registered instance; other evaluators used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fixed landscapes with design and noise varying by seed. Known latent truth was used only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for synthetic scoring. These landscapes are structural test functions, not fits to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endothelial-cell measurements.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latent normalized response </w:t>
      </w:r>
      <m:oMath>
        <m:box>
          <m:e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on </w:t>
      </w:r>
      <m:oMath>
        <m:box>
          <m:e>
            <m:r>
              <m:rPr>
                <m:sty m:val="i"/>
              </m:rP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1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6</m:t>
                </m:r>
              </m:sup>
            </m:sSup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, the threshold </w:t>
      </w:r>
      <m:oMath>
        <m:box>
          <m:e>
            <m:r>
              <m:rPr>
                <m:sty m:val="i"/>
              </m:rPr>
              <m:t>τ</m:t>
            </m:r>
          </m:e>
        </m:box>
      </m:oMath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the instance-specific truth quantile that produced the registered target prevalence</w:t>
      </w:r>
    </w:p>
    <w:p>
      <w:pPr>
        <w:widowControl/>
      </w:pPr>
      <m:oMath>
        <m:box>
          <m:e>
            <m:r>
              <m:rPr>
                <m:sty m:val="i"/>
              </m:rPr>
              <m:t>p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The acceptable region was</w:t>
      </w:r>
    </w:p>
    <w:p>
      <w:pPr>
        <w:widowControl/>
      </w:pPr>
      <m:oMath>
        <m:box>
          <m:e>
            <m:sSub>
              <m:e>
                <m:r>
                  <m:rPr>
                    <m:sty m:val="i"/>
                  </m:rPr>
                  <m:t>Γ</m:t>
                </m:r>
              </m:e>
              <m:sub>
                <m:r>
                  <m:rPr>
                    <m:sty m:val="i"/>
                  </m:rPr>
                  <m:t>τ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rPr>
                <m:sty m:val="i"/>
              </m:rPr>
              <m:t>x</m:t>
            </m:r>
            <m:r>
              <m:rPr>
                <m:sty m:val="i"/>
              </m:rPr>
              <m:t>:</m:t>
            </m:r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rPr>
                <m:sty m:val="i"/>
              </m:rPr>
              <m:t>τ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Thresholds were computed on a 20,000-point Sobol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truth grid with seed 0. A 2,000-point Sobol certificate-candidate and scoring subset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at the same seed was used for posterior-region construction and truth-containment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scoring. Each certificate used 4,096 joint posterior draws and 64 nested Vorob'ev levels.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DC supplied the one-process point comparison (C1) and DoE comparison (C2). LC supplied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leave-one-family-out matched-round comparison (C3). TAU supplied the prevalence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margin-to-noise analyses (C5/C6). TT tested the proposed targeting mechanism (S1).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Retrospective in-house and published Hall–Ogle data supplied supporting uncertainty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diagnostics (S2/S3), not prospective validation.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All synthetic arms used 48 wells. SPADE at three rounds used an opening of 32 followed by two batches of 8; SPADE at five rounds used an opening of 16 followed by four batches of 8. Matched qLogNEI R3 and R5 used the same respective allocations. qLogNEI R10 used a 14-point Sobol opening, eight batches of four, and a final batch of two. The screened DoE R3 workflow used a 20-run six-factor screen, a 27-run four-factor face-centred response-surface design, and one confirmation well. The registered unscreened comparator omitted screening, used one 47-run full-dimensional face-centred central-composite design, and measured one confirmation well; it retained the protocol's DoE R3 comparator label even though its executed measurements comprise design and confirmation stages. Equal wells therefore did not mean equal sequential rounds.</w:t>
      </w:r>
    </w:p>
    <w:p>
      <w:pPr>
        <w:keepNext/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97880" cy="2228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228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>Fig 1. Method selection under a fixed 48-well budget. Choose SPADE when the campaign must return a trusted operating region with honest abstention. Choose a point optimizer (DoE or BO) when only one carry-forward recipe is required. Under very high assay-like noise, abstain and replicate rather than claiming a region.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 48-well campaign. (B) The same sampled campaign supports a point decision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or a region decision, including abstention. (C) The estimand ledger distinguishes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reported object, observability, score, extra wells, and rounds for each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deliverable. This schematic defines the benchmark and contains no performance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result.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 architecture and comparators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Observations followed</w:t>
      </w:r>
    </w:p>
    <w:p>
      <w:pPr>
        <w:widowControl/>
      </w:pPr>
      <m:oMath>
        <m:box>
          <m:e>
            <m:r>
              <m:rPr>
                <m:sty m:val="i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+</m:t>
            </m:r>
            <m:r>
              <m:rPr>
                <m:sty m:val="i"/>
              </m:rPr>
              <m:t>ϵ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i"/>
              </m:rPr>
              <m:t>η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with</w:t>
      </w:r>
    </w:p>
    <w:p>
      <w:pPr>
        <w:widowControl/>
      </w:pPr>
      <m:oMath>
        <m:box>
          <m:e>
            <m:r>
              <m:rPr>
                <m:sty m:val="i"/>
              </m:rPr>
              <m:t>ϵ</m:t>
            </m:r>
            <m:r>
              <m:rPr>
                <m:sty m:val="i"/>
              </m:rPr>
              <m:t>~</m:t>
            </m:r>
            <m:r>
              <m:rPr>
                <m:scr m:val="script"/>
                <m:sty m:val="i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  <m:sup>
                <m:r>
                  <m:rPr>
                    <m:sty m:val="p"/>
                  </m:rPr>
                  <m:t>2</m:t>
                </m:r>
              </m:sup>
            </m:sSubSu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</w:t>
      </w:r>
    </w:p>
    <w:p>
      <w:pPr>
        <w:widowControl/>
      </w:pPr>
      <m:oMath>
        <m:box>
          <m:e>
            <m:sSub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0.25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and</w:t>
      </w:r>
    </w:p>
    <w:p>
      <w:pPr>
        <w:widowControl/>
      </w:pPr>
      <m:oMath>
        <m:box>
          <m:e>
            <m:r>
              <m:rPr>
                <m:sty m:val="i"/>
              </m:rPr>
              <m:t>η</m:t>
            </m:r>
            <m:r>
              <m:rPr>
                <m:sty m:val="i"/>
              </m:rPr>
              <m:t>~</m:t>
            </m:r>
            <m:r>
              <m:rPr>
                <m:scr m:val="script"/>
                <m:sty m:val="i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0.01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SPADE and qLogNEI supplied the GP with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raw-unit plug-in variance</w:t>
      </w:r>
    </w:p>
    <w:p>
      <w:pPr>
        <w:widowControl/>
      </w:pPr>
      <m:oMath>
        <m:box>
          <m:e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i"/>
                  </m:rPr>
                  <m:t>y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sSubSup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  <m:sup>
                <m:r>
                  <m:rPr>
                    <m:sty m:val="p"/>
                  </m:rP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0.01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0.01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computed from the observed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value rather than latent truth. The DoE adapters lacked per-well variances and used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their registered arm-constant plug-in</w:t>
      </w:r>
    </w:p>
    <w:p>
      <w:pPr>
        <w:widowControl/>
      </w:pPr>
      <m:oMath>
        <m:box>
          <m:e>
            <m:sSubSup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  <m:sup>
                <m:r>
                  <m:rPr>
                    <m:sty m:val="p"/>
                  </m:rPr>
                  <m:t>2</m:t>
                </m:r>
              </m:sup>
            </m:sSubSup>
            <m:sSup>
              <m:e>
                <m:limUpp>
                  <m:e>
                    <m:box>
                      <m:e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i"/>
                          </m:rP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</m:e>
                    </m:box>
                  </m:e>
                  <m:lim>
                    <m:r>
                      <m:rPr>
                        <m:sty m:val="p"/>
                      </m:rPr>
                      <m:t>―</m:t>
                    </m:r>
                  </m:lim>
                </m:limUpp>
              </m:e>
              <m:sup>
                <m:r>
                  <m:rPr>
                    <m:sty m:val="p"/>
                  </m:rPr>
                  <m:t>2</m:t>
                </m:r>
              </m:sup>
            </m:sSup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common outcome model was a fixed-noise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>SingleTaskGP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with explicit unit-box input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normalization, standardized outcomes, a fitted constant mean, and a scaled Matérn-5/2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kernel with automatic relevance determination and a dimension-scaled length-scale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prior. Hyperparameters were fitted by exact marginal likelihood. SPADE began with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Sobol space-filling opening, refitted after every later batch, and used its registered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conservative-set straddle implementation for adaptive high-response sampling.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implemented historical acquisition is retained because the target-aligned replacement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did not demonstrate improvement or earn adoption and worsened regret; no claim here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attributes the results to successful threshold targeting.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posterior draw </w:t>
      </w:r>
      <m:oMath>
        <m:box>
          <m:e>
            <m:r>
              <m:rPr>
                <m:sty m:val="i"/>
              </m:rPr>
              <m:t>b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the finite-grid excursion set was</w:t>
      </w:r>
    </w:p>
    <w:p>
      <w:pPr>
        <w:widowControl/>
      </w:pPr>
      <m:oMath>
        <m:box>
          <m:e>
            <m:sSubSup>
              <m:e>
                <m:r>
                  <m:rPr>
                    <m:sty m:val="i"/>
                  </m:rPr>
                  <m:t>Γ</m:t>
                </m:r>
              </m:e>
              <m:sub>
                <m:r>
                  <m:rPr>
                    <m:sty m:val="i"/>
                  </m:rPr>
                  <m:t>τ</m:t>
                </m:r>
              </m:sub>
              <m:sup>
                <m:box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box>
              </m:sup>
            </m:sSubSup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rPr>
                <m:sty m:val="i"/>
              </m:rPr>
              <m:t>x</m:t>
            </m:r>
            <m:r>
              <m:rPr>
                <m:sty m:val="i"/>
              </m:rPr>
              <m:t>:</m:t>
            </m:r>
            <m:sSup>
              <m:e>
                <m:r>
                  <m:rPr>
                    <m:sty m:val="i"/>
                  </m:rPr>
                  <m:t>f</m:t>
                </m:r>
              </m:e>
              <m:sup>
                <m:box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box>
              </m:sup>
            </m:sSup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rPr>
                <m:sty m:val="i"/>
              </m:rPr>
              <m:t>τ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on the 2,000-point scoring grid.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4,096 draws formed a coverage function and 64 nested Vorob'ev candidates. For each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inflation </w:t>
      </w:r>
      <m:oMath>
        <m:box>
          <m:e>
            <m:r>
              <m:rPr>
                <m:sty m:val="i"/>
              </m:rPr>
              <m:t>c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rPr>
                <m:sty m:val="p"/>
              </m:rPr>
              <m:t>1.0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2.0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3.0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the common downstream estimator returned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largest scanned candidate whose same-draw Monte Carlo posterior joint 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reached alpha=0.95. “Largest” means largest in that finite nested family, not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global optimum over all continuous subsets. If no non-empty candidate passed,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procedure abstained.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qLogNEI used the same GP outcome model and well budget while allocating batches by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noisy expected improvement. Its observations were passed through the common posterior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conservative-set estimator; regional certificates are therefore common post-processing,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not an intrinsic qLogNEI output. Screened DoE used a 20-run six-factor screen, a 27-run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face-centred response-surface design in four factors, and one confirmation well.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unscreened arm retained the low-order workflow without screening. These implementations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do not represent all BO or classical-design methods.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Outcomes and calibration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terminal point recommendation was the visited condition with the largest observed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response; it was then scored by latent truth. Because each family was normalized to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optimum one, simple regret was </w:t>
      </w:r>
      <m:oMath>
        <m:box>
          <m:e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limUpp>
              <m:e>
                <m:r>
                  <m:rPr>
                    <m:sty m:val="i"/>
                  </m:rPr>
                  <m:t>x</m:t>
                </m:r>
              </m:e>
              <m:lim>
                <m:r>
                  <m:rPr>
                    <m:sty m:val="p"/>
                  </m:rPr>
                  <m:t>^</m:t>
                </m:r>
              </m:lim>
            </m:limUp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This prevents crediting a method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for visiting a strong point that its noisy observations did not identify.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regional answered outcome was a non-empty returned conservative set. contained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recorded whether an answered set was a subset of the known synthetic acceptable region;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answer rate was answered divided by eligible cells, conditional empirical 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contained divided by answered, and certified volume was the returned fraction of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2,000-point scoring grid. Abstention was not counted as containment. The registered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cross-cell gate required a one-sided 95% Clopper–Pearson lower bound of at least 0.90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among answered cells and answer rate of at least 0.05.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C3 selected the smallest posterior inflation c that passed the registered rule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four families and evaluated volume on the held-out fifth family. It pooled prevalence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0.30 and 0.10, yielding five families x 32 seeds x two prevalences = 320 dependent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family-seed-prevalence cells. C2 used a weaker procedure: SPADE selected c=1 within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DC cells themselves. Neither DoE arm passed at any tested inflation, so its reported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counts are fallback diagnostics at baseline c=1. C2 is within-sample and not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transportable; it is not the held-out-family calibration used for C3.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Earlier prospective map scoring used a fixed 0.50 cutoff. Its archived certificate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count is a posterior self-consistency check, not empirical containment against the oracle.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retrospective terminal-rule comparison also used a common GP for all arms: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20,000-point screen, twenty restarts and 4,096 raw starts. Earlier quadratic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response-surface diagnostics are separate and are not substituted for that recommender.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Statistical analysis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Contrasts were paired by family and seed or by family, seed, and prevalence. Frozen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analysers used 8,000 ordinary nonparametric resamples of flat contrast rows, percentile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intervals, and two-sided bootstrap tail-area proportions relative to zero.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flat-cell bootstrap treats cells as exchangeable. Because rows can share families,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landscapes, seeds, prevalences, and campaigns, its intervals are conditional descriptive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summaries and may be too narrow under dependence; cells are not independent campaigns.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Pooled Clopper–Pearson bounds similarly assume an ordinary binomial model.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regret smallest effect of interest was 0.02. An interval extending beyond that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boundary was not interpreted as equivalence. The C5 Spearman coefficient is descriptive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over 25 nested, nonexchangeable family-prevalence cells; no naive independence-based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p-value is interpreted.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Reproducibility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Analyses used Python 3.11 with PyTorch, GPyTorch, BoTorch, NumPy, SciPy, pandas,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scikit-learn. Frozen inputs, producing commands, exact estimates, guard coverage,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limitations are indexed in </w:t>
      </w:r>
      <w:r>
        <w:rPr>
          <w:rFonts w:ascii="Courier New" w:hAnsi="Courier New" w:eastAsia="Courier New" w:cs="Courier New"/>
          <w:color w:val="000000"/>
          <w:sz w:val="22"/>
        </w:rPr>
        <w:t>manuscript/CLAIMS-AND-SOURCES.md</w:t>
      </w:r>
      <w:r>
        <w:rPr>
          <w:rFonts w:ascii="Times New Roman" w:hAnsi="Times New Roman" w:eastAsia="Times New Roman" w:cs="Times New Roman"/>
          <w:color w:val="000000"/>
          <w:sz w:val="24"/>
        </w:rPr>
        <w:t>. The active PLOS source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remains in this repository. Consolidated C1–C6/S1 provenance is pinned to repository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commit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>ec14bc7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the ledger gives portable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>git show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and detached-worktree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instructions. No frozen result was changed for this rewrite.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Artificial intelligence assistance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OpenAI Codex (GPT-based coding assistant) assisted with manuscript drafting and revision,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source-code inspection, figure-generation scripts, and document formatting. The authors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reviewed and edited all AI-assisted text and take responsibility for the scientific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interpretation, references, code, figures, and reported results. No generative AI system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used to create experimental data.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Results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Matched five-round SPADE returned greater certified volume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Table 1 states the local certification dimensions for C3. Under registered LOFO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calibration, five-round SPADE returned greater certified volume than five-round qLogNEI: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SPADE-minus-qLogNEI difference was +0.000855 (95% CI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[+0.000691, +0.001028], p &lt; 0.0001, n = 320 dependent cells).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This is the primary result supporting SPADE for the tested operating-region decision.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It does not establish a universal method ranking. The analogous positive three-round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claim was withdrawn after extension to 32 seeds.</w:t>
      </w:r>
    </w:p>
    <w:p>
      <w:pPr>
        <w:keepNext/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97880" cy="2328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328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>Fig 2. SPADE’s primary advantage: trusted operating regions. (A) Certified-volume difference (SPADE minus qLogNEI) at matched five rounds under leave-one-family-out calibration: +0.000855 (95% CI [+0.000691, +0.001028], p &lt; 0.0001, n = 320); absolute means are noted under the panel. (B) Observed truth containment among answered regions at prevalence 0.30: SPADE 66/66 versus screened DoE 85/122 and unscreened DoE 77/134.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1. C3 matched-round regional comparison.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 w:val="true"/>
        </w:trPr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Scope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Prevalence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Noise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Assurance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Calibration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Wells; rounds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Seeds and denominator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Result</w:t>
            </w:r>
          </w:p>
        </w:tc>
      </w:tr>
      <w:tr>
        <w:trPr>
          <w:cantSplit/>
        </w:trPr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synthetic families; SPADE vs qLogNEI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 and 0.10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0.25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0.95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LOFO inflation over c={1,1.5,2,3}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R5 vs R5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32/family; 320 dependent family-seed-prevalence cells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Volume difference +0.000855</w:t>
            </w:r>
          </w:p>
        </w:tc>
      </w:tr>
    </w:tbl>
    <w:p>
      <w:pPr>
        <w:spacing w:after="40"/>
      </w:pP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Point regret showed no detectable difference from longer qLogNEI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 DC, SPADE R5 minus qLogNEI R10 regret was -0.0005 (95% CI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[-0.0221, +0.0207], p = 0.96, n = 160, five families x 32 seeds).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Both used 48 wells. This is no detectable regret difference, not equivalence: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interval extends slightly beyond the registered ±0.02 effect boundary, and neither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calendar duration nor cost was measured.</w:t>
      </w:r>
    </w:p>
    <w:p>
      <w:pPr>
        <w:keepNext/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97880" cy="28339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83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>Fig 3. Point-recipe trade-off (secondary to the region decision). (A) SPADE at five rounds minus qLogNEI at ten rounds on simple regret: no detectable difference (-0.0005, 95% CI [-0.0221, +0.0207], n = 160); not claimed as equivalence. (B) SPADE at five rounds minus screened DoE at three rounds: DoE finds the better single recipe (+0.1026, 95% CI [+0.0486, +0.1578]); expected when the goal is one point rather than a region.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DoE found a better point recipe but weaker regional 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adverse point result is essential: screened DoE found the better point recipe in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three rounds. SPADE R5 minus screened-DoE R3 regret was +0.1026 (95% CI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[+0.0486, +0.1578], p = 0.0003, n = 160). SPADE used five rounds.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Regional evidence moved in the opposite direction (Table 2). At prevalence 0.30,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relative noise 0.25, assurance 0.95, 48 wells, and five families x 32 seeds,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 selected c=1 within the same DC sample, answered 66/160, and contained truth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 66/66 answered regions (observed conditional containment 1.0000, ordinary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binomial lower bound 0.9556). Neither DoE arm passed at any inflation, so baseline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c=1 diagnostics are reported: screened DoE answered 122/160 and contained 85/122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(0.6967); unscreened DoE answered 134/160 and contained 77/134 (0.5746).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These within-sample descriptive results do not condemn DoE as a class or establish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transportable coverage.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2. C2 regional answers and point trade-off.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rPr>
          <w:cantSplit/>
          <w:tblHeader w:val="true"/>
        </w:trPr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Arm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Scope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Prevalence; noise; assurance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Wells; rounds; seeds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Inflation rule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Answered</w:t>
            </w:r>
          </w:p>
        </w:tc>
        <w:tc>
          <w:tcPr>
            <w:tcW w:type="dxa" w:w="1338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Contained among answers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SPADE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families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0.30; 0.25; 0.95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R5; 32/family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Within-DC selected c=1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66/160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66/66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Screened DoE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families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0.30; 0.25; 0.95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R3; 32/family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No passing c; baseline c=1 fallback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122/160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85/122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Unscreened DoE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families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0.30; 0.25; 0.95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R3; 32/family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No passing c; baseline c=1 fallback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134/160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77/134</w:t>
            </w:r>
          </w:p>
        </w:tc>
      </w:tr>
    </w:tbl>
    <w:p>
      <w:pPr>
        <w:spacing w:after="40"/>
      </w:pPr>
    </w:p>
    <w:p>
      <w:pPr>
        <w:keepNext/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97880" cy="23733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37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>Fig 4. Additional locked SPADE evidence. (A) At three rounds SPADE has lower regret than one-shot Latin hypercube sampling (SPADE−LHS −0.0783; shown as positive SPADE advantage). (B) On the biology-shaped Hill family at prevalence 0.70, SPADE answers 40/64 trusted regions versus 27/64 for qLogNEI; both arms contain truth in every answered cell.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Certifiability depended on family, prevalence, and margin-to-noise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Across five families and prevalences 0.70, 0.50, 0.30, 0.20, and 0.10, SPADE answer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rate at c=1, alpha=0.95, 48 wells, R5, relative noise 0.25, and 64 seeds per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family was descriptively associated with mean seed-specific true margin-to-noise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(Spearman rho = 0.988; 25 nested family-prevalence cells). The diagnostic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uses latent truth and is explanatory, not available prospectively. Shared families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ordered prevalences make the cells dependent and nonexchangeable.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For the biology-shaped but synthetic Hill family at prevalence 0.70, under those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same settings, SPADE answered 40/64 and contained truth in 40/40 (ordinary-binomial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lower bound 0.9278). qLogNEI answered 27/64 and contained 27/27; its limitation was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answer count required by the registered gate, not failure to return contained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regions.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Mean marginalisation diagnosed real-data posterior collapse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Treating the fitted GP mean as fixed had little effect in synthetic diagnostics: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mean-marginalised posterior width increased by 1.004x–1.011x. The same correction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increased mean posterior marginal SD approximately 484x for the in-house candidate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dataset and 297x for published Hall–Ogle data. Observation-prediction LOO inflation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assay-specific (c=0.712 in-house and c=0.526 published). These S2/S3 values are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retrospective, stdout-reproduced support without structured numerical guards. LOO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prediction does not identify latent-function uncertainty, and the in-house CD31 gates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remain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>awaiting_human_signoff</w:t>
      </w:r>
      <w:r>
        <w:rPr>
          <w:rFonts w:ascii="Times New Roman" w:hAnsi="Times New Roman" w:eastAsia="Times New Roman" w:cs="Times New Roman"/>
          <w:color w:val="000000"/>
          <w:sz w:val="24"/>
        </w:rPr>
        <w:t>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Failed targeting, the real-noise ceiling, and the unopened lockbox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target-aligned acquisition did not earn adoption. Relative to committed SPADE, its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certified-volume change was +0.000425 (95% CI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[-0.000022, +0.000875]) and its regret was worse by +0.0301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(95% CI [+0.0169, +0.0450], p &lt; 0.0001). Family effects cancelled. This failure is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why SPADE's value is described architecturally rather than as a successful targeting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mechanism.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At measured real-assay relative noise 0.68, no tested arm certified. Replication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independent noise identification are therefore prerequisites for prospective use at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that noise level.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later future-response development grid evaluated nine candidate protocols on five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families. Table 3 reports its preserved ranges; every candidate missed the registered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containment floor on at least one family. The selector returned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>, no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power artifact was authorized, and the lockbox remained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>FROZEN_UNOPENED</w:t>
      </w:r>
      <w:r>
        <w:rPr>
          <w:rFonts w:ascii="Times New Roman" w:hAnsi="Times New Roman" w:eastAsia="Times New Roman" w:cs="Times New Roman"/>
          <w:color w:val="000000"/>
          <w:sz w:val="24"/>
        </w:rPr>
        <w:t>. No lockbox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evidence was opened.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3. Joint-protocol development ranges across nine candidates.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Family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Answer count range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Empirical containment range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Hill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49–50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0.140–0.490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Ackley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0.320–0.820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Hartmann6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0.440–0.940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Levy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47–49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0.213–0.333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Rosenbrock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47–50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0.061–0.320</w:t>
            </w:r>
          </w:p>
        </w:tc>
      </w:tr>
    </w:tbl>
    <w:p>
      <w:pPr>
        <w:spacing w:after="40"/>
      </w:pP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Discussion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primary conclusion is decision-specific. At five matched rounds, SPADE produced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greater certified volume than qLogNEI under registered LOFO calibration. In the DC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comparison its answered regions also had stronger observed truth containment than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tested DoE pipelines. Those findings support SPADE when the requested deliverable is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conservative operating region and abstention is acceptable.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They do not support a universal ranking. The qLogNEI point comparison showed no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detectable difference and did not establish equivalence. Screened DoE found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substantially better point recipe in fewer rounds. A laboratory requiring one 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may rationally prefer a point optimizer; a laboratory requiring a region faces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different loss function.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contribution is integration and evidence, not theoretical priority. GP level-set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learning, Vorob'ev summaries, simultaneous posterior inclusion, and conservative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excursion sets are established. SPADE adapts them to a fixed-well assay architecture,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uses common regional post-processing across comparator observations, and permits an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empty answer. The failed target-alignment experiment prevents attributing the observed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regional result to successful threshold targeting.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Scope and limitations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All comparative landscapes were synthetic, the domain was evaluated on finite grids,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and headline noise was 0.25. Families, seeds, target prevalences, kernels, acquisition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implementations, and one 48-well budget bound the result. The tested DoE is one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low-order response-surface pipeline and qLogNEI is one BO acquisition.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Inference is conditional on the frozen benchmark. The flat-cell bootstrap may be too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narrow because repeated family-seed-prevalence cells are dependent. Pooled binomial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bounds do not become cluster-aware merely because they are exact under an ordinary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Bernoulli model. C2 calibration is within-sample; only C3 holds a family out during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inflation selection. Neither procedure supplies distribution-free or regulatory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coverage.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real-data analyses are retrospective diagnostics. They do not establish 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equivalence, manufacturing qualification, regulatory validation, or prospective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wet-lab performance. The relative-noise ceiling, unsigned in-house gates, missing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replicate-tube noise identification, joint-protocol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>, and unopened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lockbox preclude such claims.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Relationship to published and retained evidence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Table 4 situates the contribution. Physical and biological optimization studies provide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wet-lab relevance but usually answer different budget and decision questions.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Methodological papers supply the level-set and conservative-set foundations.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present simulation offers known truth but no biological validation.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4. Selected precedents and scope.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Evidence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Decision or method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Relationship to this study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Hall, Lin, and Ogle [7]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Experimental-design study of extracellular matrix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Published assay-shape support; not a SPADE campaign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Rummukainen et al. [8]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Physical DoE and adaptive optimization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Wet-process evidence with a different budget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Lapierre et al. [9]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Multicycle BO and two-step DoE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Biological growth outcome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Gotovos et al. [13]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Level-set classification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Established level-set precedent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Azzimonti et al. [14]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Conservative excursion sets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Close estimator antecedent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Bogunovic et al. [15]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TruVaR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Optimization/level-set connection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Present study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Point and conservative-region decisions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Fixed-well synthetic comparison with abstention</w:t>
            </w:r>
          </w:p>
        </w:tc>
      </w:tr>
    </w:tbl>
    <w:p>
      <w:pPr>
        <w:spacing w:after="40"/>
      </w:pP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5. Contribution and novelty boundary.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Element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Classification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Present contribution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GP excursion sets, boundary learning, Vorob'ev candidates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Established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Integrated, not claimed as new theory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qLogNEI and response-surface DoE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Established comparator ingredients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Implemented as specific fixed-budget pipelines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Per-well variances, round schedules, empty answer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Assay-oriented adaptation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Operational SPADE architecture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Common conservative-region estimator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Comparative-design choice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Separates observations from regional post-processing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Regret, volume, answers, and truth containment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Empirical evidence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Bounded to named synthetic settings</w:t>
            </w:r>
          </w:p>
        </w:tc>
      </w:tr>
    </w:tbl>
    <w:p>
      <w:pPr>
        <w:spacing w:after="40"/>
      </w:pP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Conclusions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 performed better for the tested operating-region decision: at matched five rounds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it returned greater certified volume than qLogNEI, and its answered DC regions had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stronger observed containment than the tested DoE pipelines. That regional conclusion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coexists with no detectable point-regret difference from longer qLogNEI, an interval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that did not establish equivalence, and a clear adverse result in which three-round DoE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found a better point recipe than five-round SPADE.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Choose SPADE when a moderate-noise, fixed-well campaign must return a conservative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operating region and may abstain; choose a point optimizer when only one recipe is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required. These computational results do not establish recipe equivalence,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manufacturing qualification, regulatory validation, or prospective wet-lab performance.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Data availability statement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Primary result files, analysis scripts, protocols, and supporting tables are available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 the project repository at https://github.com/akwnn/nutrigene-ai-bo-ipsec. Original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software is released under the MIT License; original research materials (manuscript,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figures, synthetic datasets, and retained results) are released under CC BY 4.0 (see</w:t>
      </w:r>
    </w:p>
    <w:p>
      <w:pPr>
        <w:widowControl/>
      </w:pPr>
      <w:r>
        <w:rPr>
          <w:rFonts w:ascii="Times New Roman" w:hAnsi="Times New Roman" w:eastAsia="Times New Roman" w:cs="Times New Roman"/>
          <w:i/>
          <w:color w:val="000000"/>
          <w:sz w:val="24"/>
        </w:rPr>
        <w:t>LICENSE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and </w:t>
      </w:r>
      <w:r>
        <w:rPr>
          <w:rFonts w:ascii="Courier New" w:hAnsi="Courier New" w:eastAsia="Courier New" w:cs="Courier New"/>
          <w:color w:val="000000"/>
          <w:sz w:val="22"/>
        </w:rPr>
        <w:t>LICENSE-CONTENT.md</w:t>
      </w:r>
      <w:r>
        <w:rPr>
          <w:rFonts w:ascii="Times New Roman" w:hAnsi="Times New Roman" w:eastAsia="Times New Roman" w:cs="Times New Roman"/>
          <w:color w:val="000000"/>
          <w:sz w:val="24"/>
        </w:rPr>
        <w:t>). Audited reproduction paths are indexed in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manuscript/CLAIMS-AND-SOURCES.md</w:t>
      </w:r>
      <w:r>
        <w:rPr>
          <w:rFonts w:ascii="Times New Roman" w:hAnsi="Times New Roman" w:eastAsia="Times New Roman" w:cs="Times New Roman"/>
          <w:color w:val="000000"/>
          <w:sz w:val="24"/>
        </w:rPr>
        <w:t>. A DOI-bearing archival deposit remains pending;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repository is the current source of the materials described here.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Author contributions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Alana Wai Han Kwan: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Conceptualization; Formal analysis; Investigation; Methodology;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Project administration; Validation; Visualization; Writing – original draft; Writing –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review &amp; editing.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Joseph Yung: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Conceptualization; Data curation; Formal analysis; Investigation;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Methodology; Software; Validation; Writing – review &amp; editing.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Roles follow the CRediT taxonomy.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Acknowledgments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 thank the Obermeyer Research Group at Columbia University for research context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multicomponent formulation design. Computational experiments used synthetic landscapes;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 wet-lab samples were generated for this study.</w:t>
      </w:r>
    </w:p>
    <w:p>
      <w:r>
        <w:br w:type="page"/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References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1. Box GEP, Wilson KB. On the experimental attainment of optimum conditions. J R Stat Soc Series B Stat Methodol. 1951;13:1–38. doi:10.1111/j.2517-6161.1951.tb00067.x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2. Box GEP, Draper NR. Empirical model-building and response surfaces. New York: Wiley; 1987.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3. Myers RH, Montgomery DC, Anderson-Cook CM. Response surface methodology: Process and product optimization using designed experiments. 4th ed. Hoboken: Wiley; 2016.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4. Močkus J. On Bayesian methods for seeking the extremum. In: Marchuk GI, editor. Optimization techniques IFIP Technical Conference. Berlin: Springer; 1975. p. 400–404. doi:10.1007/3-540-07165-2_55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5. Jones DR, Schonlau M, Welch WJ. Efficient global optimization of expensive black-box functions. J Glob Optim. 1998;13:455–492. doi:10.1023/A:1008306431147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6. Frazier PI. A tutorial on Bayesian optimization. arXiv:1807.02811 [Preprint]. 2018 [cited 2026 Aug 26]. Available from: https://arxiv.org/abs/1807.02811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7. Hall ML, Lin W-H, Ogle BM. Optimizing extracellular matrix for endothelial differentiation using a design of experiments approach. Sci Rep. 2025;15:24479. doi:10.1038/s41598-025-09256-9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8. Rummukainen H, Hörhammer H, Kuusela P, Kilpi J, Sirviö J, Mäkelä M. Traditional or adaptive design of experiments? A pilot-scale comparison on wood delignification. Heliyon. 2024;10:e24484. doi:10.1016/j.heliyon.2024.e24484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9. Lapierre F, Mattaliano P, Raith D, Castillo-Cota M, Bermeitinger J, Huber R. Multi-cycle high-throughput growth media optimization using batch Bayesian optimization. J Chem Technol Biotechnol. 2025;100:1571–1583. doi:10.1002/jctb.7860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10. Ndahiro N, Ma E, Bertalan T, Donohue M, Kevrekidis Y, Betenbaugh M. Integration of Bayesian optimization and solution thermodynamics to optimize media design for mammalian biomanufacturing. iScience. 2025;28:112944. doi:10.1016/j.isci.2025.112944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11. Narayanan H, Hinckley JA, Barry R, Dang B, Wolffe LA, Atari A, Tseng Y-Y, Love JC. Accelerating cell culture media development using Bayesian optimization-based iterative experimental design. Nat Commun. 2025;16:6055. doi:10.1038/s41467-025-61113-5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12. Gisperg F, Klausser R, Elshazly M, Kopp J, Přáda Brichtová E, Spadiut O. Bayesian optimization in bioprocess engineering—Where do we stand today? Biotechnol Bioeng. 2025;122:1313–1325. doi:10.1002/bit.28960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13. Gotovos A, Casati N, Hitz G, Krause A. Active learning for level set estimation. Proceedings of the Twenty-Third International Joint Conference on Artificial Intelligence. 2013. Available from: https://people.csail.mit.edu/alkisg/files/gotovos13active.pdf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14. Azzimonti D, Ginsbourger D, Chevalier C, Bect J, Richet Y. Adaptive design of experiments for conservative estimation of excursion sets. Technometrics. 2021;63:13–26. doi:10.1080/00401706.2019.1693427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15. Bogunovic I, Scarlett J, Krause A, Cevher V. Truncated variance reduction: A unified approach to Bayesian optimization and level-set estimation. Advances in Neural Information Processing Systems. 2016;29. Available from: https://papers.neurips.cc/paper_files/paper/2016/hash/ce78d1da254c0843eb23951ae077ff5f-Abstract.html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16. Ament S, Daulton S, Eriksson D, Balandat M, Bakshy E. Unexpected improvements to expected improvement for Bayesian optimization. Advances in Neural Information Processing Systems. 2023;36. Available from: https://proceedings.neurips.cc/paper_files/paper/2023/hash/419f72cbd568ad62183f8132a3605a2a-Abstract-Conference.html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17. Gneiting T, Raftery AE. Strictly proper scoring rules, prediction, and estimation. J Am Stat Assoc. 2007;102:359–378. doi:10.1198/016214506000001437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18. Balandat M, Karrer B, Jiang D, Daulton S, Letham B, Wilson AG, et al. BoTorch: A framework for efficient Monte-Carlo Bayesian optimization. Advances in Neural Information Processing Systems. 2020;33. Available from: https://proceedings.neurips.cc/paper/2020/hash/f5b1b89d98b7286673128a5fb112cb9a-Abstract.html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19. Mia I, Tiihonen A, Ernst A, Srivastava A, Buonassisi T, Vandenberghe W, et al. Multi-variable batch Bayesian optimization in materials research: Synthetic data analysis of noise sensitivity and problem landscape effects. J Mater Res. 2026;41:927–948. doi:10.1557/s43578-026-01803-y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20. Morris TP, White IR, Crowther MJ. Using simulation studies to evaluate statistical methods. Stat Med. 2019;38:2074–2102. doi:10.1002/sim.8086</w:t>
      </w:r>
    </w:p>
    <w:p>
      <w:r>
        <w:br w:type="page"/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Supporting information captions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Main text Figures 1–4 follow the region-first presentation: method selection (Fig 1),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SPADE’s certified-volume and containment advantage (Fig 2), the secondary point-recipe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trade-off (Fig 3), and additional locked SPADE evidence C4/C6 (Fig 4). Numeric sources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are in </w:t>
      </w:r>
      <w:r>
        <w:rPr>
          <w:rFonts w:ascii="Courier New" w:hAnsi="Courier New" w:eastAsia="Courier New" w:cs="Courier New"/>
          <w:color w:val="000000"/>
          <w:sz w:val="22"/>
        </w:rPr>
        <w:t>publication/manuscript/CLAIMS-AND-SOURCES.md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and </w:t>
      </w:r>
      <w:r>
        <w:rPr>
          <w:rFonts w:ascii="Courier New" w:hAnsi="Courier New" w:eastAsia="Courier New" w:cs="Courier New"/>
          <w:color w:val="000000"/>
          <w:sz w:val="22"/>
        </w:rPr>
        <w:t>research/results/comparisons/</w:t>
      </w:r>
      <w:r>
        <w:rPr>
          <w:rFonts w:ascii="Times New Roman" w:hAnsi="Times New Roman" w:eastAsia="Times New Roman" w:cs="Times New Roman"/>
          <w:color w:val="000000"/>
          <w:sz w:val="24"/>
        </w:rPr>
        <w:t>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S1 Table.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Optional archive: historical Rule A versus Rule P terminal-rule rows.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Motivation only; not a current C1 claim.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S2 Table.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Optional archive: historical two-round map-error contrasts.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Motivation only; not a current C3 claim.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S3 Table.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Optional archive: older posterior self-consistency checks.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These do not replace empirical containment or the C3 certified-volume result.</w:t>
      </w:r>
    </w:p>
    <w:sectPr w:rsidR="00FC693F" w:rsidRPr="0006063C" w:rsidSect="00034616">
      <w:footerReference w:type="default" r:id="rId9"/>
      <w:pgSz w:w="12240" w:h="15840"/>
      <w:pgMar w:top="1440" w:right="1440" w:bottom="2160" w:left="1440" w:header="708" w:footer="708" w:gutter="0"/>
      <w:cols w:space="720"/>
      <w:docGrid w:linePitch="360"/>
      <w:lnNumType w:countBy="1" w:start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20"/>
      </w:rPr>
      <w:t xml:space="preserve">Page </w:t>
    </w:r>
    <w:r>
      <w:rPr>
        <w:rFonts w:ascii="Times New Roman" w:hAnsi="Times New Roman" w:eastAsia="Times New Roman" w:cs="Times New Roman"/>
        <w:color w:val="000000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480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SPADE improves operating-region decisions under fixed experimental budgets: a synthetic comparison with Bayesian optimization and response-surface design</dc:title>
  <dc:subject>PLOS ONE research article manuscript</dc:subject>
  <dc:creator>python-docx</dc:creator>
  <cp:keywords>SPADE; Bayesian optimization; response-surface methodology; design space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