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eastAsia="Times New Roman" w:cs="Times New Roman"/>
          <w:color w:val="000000"/>
          <w:sz w:val="28"/>
        </w:rPr>
        <w:t>From point optimization to operating-region decisions: a fixed-well evaluation of conservative Gaussian-process design for cell manufacturing</w:t>
      </w:r>
    </w:p>
    <w:p>
      <w:pPr>
        <w:keepNext/>
        <w:spacing w:line="240" w:lineRule="auto" w:after="360"/>
        <w:jc w:val="center"/>
      </w:pPr>
      <w:r>
        <w:rPr>
          <w:rFonts w:ascii="Times New Roman" w:hAnsi="Times New Roman" w:eastAsia="Times New Roman" w:cs="Times New Roman"/>
          <w:color w:val="000000"/>
          <w:sz w:val="24"/>
        </w:rPr>
        <w:t>Joseph Yung and Alana Kwan</w:t>
      </w:r>
    </w:p>
    <w:p>
      <w:pPr>
        <w:pStyle w:val="Heading1"/>
      </w:pPr>
      <w:r>
        <w:rPr>
          <w:rFonts w:ascii="Times New Roman" w:hAnsi="Times New Roman" w:eastAsia="Times New Roman" w:cs="Times New Roman"/>
          <w:color w:val="000000"/>
          <w:sz w:val="24"/>
        </w:rPr>
        <w:t>Abstract</w:t>
      </w:r>
    </w:p>
    <w:p>
      <w:r>
        <w:rPr>
          <w:rFonts w:ascii="Times New Roman" w:hAnsi="Times New Roman" w:eastAsia="Times New Roman" w:cs="Times New Roman"/>
          <w:color w:val="000000"/>
          <w:sz w:val="24"/>
        </w:rPr>
        <w:t xml:space="preserve">Cell-manufacturing development commonly seeks a best recipe, although an operational decision may require a region of conditions expected to remain above a specification. These are different estimands: point optimization does not establish simultaneous acceptability over a region. We evaluated SPADE, a fixed-well, multi-round workflow that adapts established Gaussian-process (GP) level-set design and conservative Vorob'ev-set estimation to noisy assay campaigns with an explicit empty-set outcome. The closest antecedent, Azzimonti </w:t>
      </w:r>
      <w:r>
        <w:rPr>
          <w:rFonts w:ascii="Times New Roman" w:hAnsi="Times New Roman" w:eastAsia="Times New Roman" w:cs="Times New Roman"/>
          <w:i/>
          <w:color w:val="000000"/>
          <w:sz w:val="24"/>
        </w:rPr>
        <w:t>et al.</w:t>
      </w:r>
      <w:r>
        <w:rPr>
          <w:rFonts w:ascii="Times New Roman" w:hAnsi="Times New Roman" w:eastAsia="Times New Roman" w:cs="Times New Roman"/>
          <w:color w:val="000000"/>
          <w:sz w:val="24"/>
        </w:rPr>
        <w:t xml:space="preserve">, already formulated maximum-volume conservative estimation within nested Vorob'ev candidates; SPADE's contribution is therefore assay-oriented integration and bounded empirical comparison, not new excursion-set theory. At 48 wells and relative noise 0.25, SPADE at five rounds showed no detectable regret difference from qLogNEI at ten rounds (SPADE minus qLogNEI </w:t>
      </w:r>
      <w:r>
        <w:rPr>
          <w:rFonts w:ascii="Times New Roman" w:hAnsi="Times New Roman" w:eastAsia="Times New Roman" w:cs="Times New Roman"/>
          <w:color w:val="000000"/>
          <w:sz w:val="24"/>
        </w:rPr>
        <w:t>-0.0005</w:t>
      </w:r>
      <w:r>
        <w:rPr>
          <w:rFonts w:ascii="Times New Roman" w:hAnsi="Times New Roman" w:eastAsia="Times New Roman" w:cs="Times New Roman"/>
          <w:color w:val="000000"/>
          <w:sz w:val="24"/>
        </w:rPr>
        <w:t xml:space="preserve">, 95% bootstrap CI </w:t>
      </w:r>
      <w:r>
        <w:rPr>
          <w:rFonts w:ascii="Times New Roman" w:hAnsi="Times New Roman" w:eastAsia="Times New Roman" w:cs="Times New Roman"/>
          <w:color w:val="000000"/>
          <w:sz w:val="24"/>
        </w:rPr>
        <w:t>[-0.0221,0.0207]</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n=160</w:t>
      </w:r>
      <w:r>
        <w:rPr>
          <w:rFonts w:ascii="Times New Roman" w:hAnsi="Times New Roman" w:eastAsia="Times New Roman" w:cs="Times New Roman"/>
          <w:color w:val="000000"/>
          <w:sz w:val="24"/>
        </w:rPr>
        <w:t>). At five matched rounds, leave-one-family-out analysis descriptively gave greater certified volume than qLogNEI under the conditional flat-cell bootstrap (</w:t>
      </w:r>
      <w:r>
        <w:rPr>
          <w:rFonts w:ascii="Times New Roman" w:hAnsi="Times New Roman" w:eastAsia="Times New Roman" w:cs="Times New Roman"/>
          <w:color w:val="000000"/>
          <w:sz w:val="24"/>
        </w:rPr>
        <w:t>+0.000855</w:t>
      </w:r>
      <w:r>
        <w:rPr>
          <w:rFonts w:ascii="Times New Roman" w:hAnsi="Times New Roman" w:eastAsia="Times New Roman" w:cs="Times New Roman"/>
          <w:color w:val="000000"/>
          <w:sz w:val="24"/>
        </w:rPr>
        <w:t xml:space="preserve">, 95% CI </w:t>
      </w:r>
      <w:r>
        <w:rPr>
          <w:rFonts w:ascii="Times New Roman" w:hAnsi="Times New Roman" w:eastAsia="Times New Roman" w:cs="Times New Roman"/>
          <w:color w:val="000000"/>
          <w:sz w:val="24"/>
        </w:rPr>
        <w:t>[0.000691,0.001028]</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n=320</w:t>
      </w:r>
      <w:r>
        <w:rPr>
          <w:rFonts w:ascii="Times New Roman" w:hAnsi="Times New Roman" w:eastAsia="Times New Roman" w:cs="Times New Roman"/>
          <w:color w:val="000000"/>
          <w:sz w:val="24"/>
        </w:rPr>
        <w:t xml:space="preserve"> dependent family-seed-prevalence cells, not campaigns). A specified response-surface design of experiments (DoE) found a better point recipe in three rounds (</w:t>
      </w:r>
      <w:r>
        <w:rPr>
          <w:rFonts w:ascii="Times New Roman" w:hAnsi="Times New Roman" w:eastAsia="Times New Roman" w:cs="Times New Roman"/>
          <w:color w:val="000000"/>
          <w:sz w:val="24"/>
        </w:rPr>
        <w:t>+0.1026</w:t>
      </w:r>
      <w:r>
        <w:rPr>
          <w:rFonts w:ascii="Times New Roman" w:hAnsi="Times New Roman" w:eastAsia="Times New Roman" w:cs="Times New Roman"/>
          <w:color w:val="000000"/>
          <w:sz w:val="24"/>
        </w:rPr>
        <w:t xml:space="preserve"> SPADE-minus-DoE regret), yet at prevalence 0.30 contained truth in only 85 of 122 answered cells (screened) or 77 of 134 (unscreened), compared with 66 of 66 for SPADE. SPADE selected </w:t>
      </w:r>
      <w:r>
        <w:rPr>
          <w:rFonts w:ascii="Times New Roman" w:hAnsi="Times New Roman" w:eastAsia="Times New Roman" w:cs="Times New Roman"/>
          <w:color w:val="000000"/>
          <w:sz w:val="24"/>
        </w:rPr>
        <w:t>c=1</w:t>
      </w:r>
      <w:r>
        <w:rPr>
          <w:rFonts w:ascii="Times New Roman" w:hAnsi="Times New Roman" w:eastAsia="Times New Roman" w:cs="Times New Roman"/>
          <w:color w:val="000000"/>
          <w:sz w:val="24"/>
        </w:rPr>
        <w:t xml:space="preserve"> within the DC data; neither DoE arm passed at any tested inflation, so its diagnostic counts are reported at baseline </w:t>
      </w:r>
      <w:r>
        <w:rPr>
          <w:rFonts w:ascii="Times New Roman" w:hAnsi="Times New Roman" w:eastAsia="Times New Roman" w:cs="Times New Roman"/>
          <w:color w:val="000000"/>
          <w:sz w:val="24"/>
        </w:rPr>
        <w:t>c=1</w:t>
      </w:r>
      <w:r>
        <w:rPr>
          <w:rFonts w:ascii="Times New Roman" w:hAnsi="Times New Roman" w:eastAsia="Times New Roman" w:cs="Times New Roman"/>
          <w:color w:val="000000"/>
          <w:sz w:val="24"/>
        </w:rPr>
        <w:t xml:space="preserve">. Across five families and five prevalences, SPADE answer rate at </w:t>
      </w:r>
      <w:r>
        <w:rPr>
          <w:rFonts w:ascii="Times New Roman" w:hAnsi="Times New Roman" w:eastAsia="Times New Roman" w:cs="Times New Roman"/>
          <w:color w:val="000000"/>
          <w:sz w:val="24"/>
        </w:rPr>
        <w:t>c=1.0</w:t>
      </w:r>
      <w:r>
        <w:rPr>
          <w:rFonts w:ascii="Times New Roman" w:hAnsi="Times New Roman" w:eastAsia="Times New Roman" w:cs="Times New Roman"/>
          <w:color w:val="000000"/>
          <w:sz w:val="24"/>
        </w:rPr>
        <w:t xml:space="preserve"> was descriptively associated with mean seed-specific true margin-to-noise (Spearman rho </w:t>
      </w:r>
      <w:r>
        <w:rPr>
          <w:rFonts w:ascii="Times New Roman" w:hAnsi="Times New Roman" w:eastAsia="Times New Roman" w:cs="Times New Roman"/>
          <w:color w:val="000000"/>
          <w:sz w:val="24"/>
        </w:rPr>
        <w:t>0.9880098603</w:t>
      </w:r>
      <w:r>
        <w:rPr>
          <w:rFonts w:ascii="Times New Roman" w:hAnsi="Times New Roman" w:eastAsia="Times New Roman" w:cs="Times New Roman"/>
          <w:color w:val="000000"/>
          <w:sz w:val="24"/>
        </w:rPr>
        <w:t>; 25 nested cells); no naive correlation p-value is interpreted. These results expose a trade-off among optimization, regional decisions, abstention, and operational rounds. They do not establish frequentist coverage, a regulatory design space, or prospective wet-lab validity.</w:t>
      </w:r>
    </w:p>
    <w:p>
      <w:r>
        <w:rPr>
          <w:rFonts w:ascii="Times New Roman" w:hAnsi="Times New Roman" w:eastAsia="Times New Roman" w:cs="Times New Roman"/>
          <w:b/>
          <w:color w:val="000000"/>
          <w:sz w:val="24"/>
        </w:rPr>
        <w:t>Keywords:</w:t>
      </w:r>
      <w:r>
        <w:rPr>
          <w:rFonts w:ascii="Times New Roman" w:hAnsi="Times New Roman" w:eastAsia="Times New Roman" w:cs="Times New Roman"/>
          <w:color w:val="000000"/>
          <w:sz w:val="24"/>
        </w:rPr>
        <w:t xml:space="preserve"> abstention; Bayesian optimization; cell manufacturing; design of experiments; excursion set; Gaussian process; operating region; uncertainty quantification.</w:t>
      </w:r>
    </w:p>
    <w:p>
      <w:pPr>
        <w:pStyle w:val="Heading1"/>
      </w:pPr>
      <w:r>
        <w:rPr>
          <w:rFonts w:ascii="Times New Roman" w:hAnsi="Times New Roman" w:eastAsia="Times New Roman" w:cs="Times New Roman"/>
          <w:color w:val="000000"/>
          <w:sz w:val="24"/>
        </w:rPr>
        <w:t>1. Introduction</w:t>
      </w:r>
    </w:p>
    <w:p>
      <w:r>
        <w:rPr>
          <w:rFonts w:ascii="Times New Roman" w:hAnsi="Times New Roman" w:eastAsia="Times New Roman" w:cs="Times New Roman"/>
          <w:color w:val="000000"/>
          <w:sz w:val="24"/>
        </w:rPr>
        <w:t>A best tested condition and a defensible operating region answer different scientific questions. Expected improvement and modern Bayesian optimization (BO) allocate expensive evaluations to improve an objective [9--12]. Response-surface methodology combines designed experiments with low-order models for target attainment and optimization [13,14]. Neither objective alone answers whether every point in a reported region exceeds a specification with a joint uncertainty statement. This distinction matters when an assay campaign is constrained both by wells and by sequential experimental rounds.</w:t>
      </w:r>
    </w:p>
    <w:p>
      <w:r>
        <w:rPr>
          <w:rFonts w:ascii="Times New Roman" w:hAnsi="Times New Roman" w:eastAsia="Times New Roman" w:cs="Times New Roman"/>
          <w:color w:val="000000"/>
          <w:sz w:val="24"/>
        </w:rPr>
        <w:t xml:space="preserve">For latent response </w:t>
      </w:r>
      <w:r>
        <w:rPr>
          <w:rFonts w:ascii="Times New Roman" w:hAnsi="Times New Roman" w:eastAsia="Times New Roman" w:cs="Times New Roman"/>
          <w:color w:val="000000"/>
          <w:sz w:val="24"/>
        </w:rPr>
        <w:t>f</w:t>
      </w:r>
      <w:r>
        <w:rPr>
          <w:rFonts w:ascii="Times New Roman" w:hAnsi="Times New Roman" w:eastAsia="Times New Roman" w:cs="Times New Roman"/>
          <w:color w:val="000000"/>
          <w:sz w:val="24"/>
        </w:rPr>
        <w:t xml:space="preserve">, threshold </w:t>
      </w:r>
      <w:r>
        <w:rPr>
          <w:rFonts w:ascii="Times New Roman" w:hAnsi="Times New Roman" w:eastAsia="Times New Roman" w:cs="Times New Roman"/>
          <w:color w:val="000000"/>
          <w:sz w:val="24"/>
        </w:rPr>
        <w:t>tau</w:t>
      </w:r>
      <w:r>
        <w:rPr>
          <w:rFonts w:ascii="Times New Roman" w:hAnsi="Times New Roman" w:eastAsia="Times New Roman" w:cs="Times New Roman"/>
          <w:color w:val="000000"/>
          <w:sz w:val="24"/>
        </w:rPr>
        <w:t xml:space="preserve">, and domain </w:t>
      </w:r>
      <w:r>
        <w:rPr>
          <w:rFonts w:ascii="Times New Roman" w:hAnsi="Times New Roman" w:eastAsia="Times New Roman" w:cs="Times New Roman"/>
          <w:color w:val="000000"/>
          <w:sz w:val="24"/>
        </w:rPr>
        <w:t>X</w:t>
      </w:r>
      <w:r>
        <w:rPr>
          <w:rFonts w:ascii="Times New Roman" w:hAnsi="Times New Roman" w:eastAsia="Times New Roman" w:cs="Times New Roman"/>
          <w:color w:val="000000"/>
          <w:sz w:val="24"/>
        </w:rPr>
        <w:t xml:space="preserve">, the acceptable region </w:t>
      </w:r>
      <w:r>
        <w:rPr>
          <w:rFonts w:ascii="Times New Roman" w:hAnsi="Times New Roman" w:eastAsia="Times New Roman" w:cs="Times New Roman"/>
          <w:color w:val="000000"/>
          <w:sz w:val="24"/>
        </w:rPr>
        <w:t>Gamma={x in X:f(x)&gt;=tau}</w:t>
      </w:r>
      <w:r>
        <w:rPr>
          <w:rFonts w:ascii="Times New Roman" w:hAnsi="Times New Roman" w:eastAsia="Times New Roman" w:cs="Times New Roman"/>
          <w:color w:val="000000"/>
          <w:sz w:val="24"/>
        </w:rPr>
        <w:t xml:space="preserve"> is an excursion set. Sequential GP learning of excursion or level sets, including batch and stepwise-uncertainty-reduction strategies, is established [1--3]. Posterior excursion sets can be summarized by coverage functions and nested Vorob'ev quantiles [5--7], while simultaneous excursion probabilities differ from pointwise membership probabilities [8]. Most importantly here, Azzimonti </w:t>
      </w:r>
      <w:r>
        <w:rPr>
          <w:rFonts w:ascii="Times New Roman" w:hAnsi="Times New Roman" w:eastAsia="Times New Roman" w:cs="Times New Roman"/>
          <w:i/>
          <w:color w:val="000000"/>
          <w:sz w:val="24"/>
        </w:rPr>
        <w:t>et al.</w:t>
      </w:r>
      <w:r>
        <w:rPr>
          <w:rFonts w:ascii="Times New Roman" w:hAnsi="Times New Roman" w:eastAsia="Times New Roman" w:cs="Times New Roman"/>
          <w:color w:val="000000"/>
          <w:sz w:val="24"/>
        </w:rPr>
        <w:t xml:space="preserve"> defined a conservative estimate as a maximum-volume member of a candidate family satisfying </w:t>
      </w:r>
      <w:r>
        <w:rPr>
          <w:rFonts w:ascii="Times New Roman" w:hAnsi="Times New Roman" w:eastAsia="Times New Roman" w:cs="Times New Roman"/>
          <w:color w:val="000000"/>
          <w:sz w:val="24"/>
        </w:rPr>
        <w:t>P(C subset Gamma | data)&gt;=alpha</w:t>
      </w:r>
      <w:r>
        <w:rPr>
          <w:rFonts w:ascii="Times New Roman" w:hAnsi="Times New Roman" w:eastAsia="Times New Roman" w:cs="Times New Roman"/>
          <w:color w:val="000000"/>
          <w:sz w:val="24"/>
        </w:rPr>
        <w:t>, used nested Vorob'ev quantiles as candidates, and developed batch-sequential designs [4]. That work is a close antecedent to SPADE's certification core and constrains novelty claims about its mathematics.</w:t>
      </w:r>
    </w:p>
    <w:p>
      <w:r>
        <w:rPr>
          <w:rFonts w:ascii="Times New Roman" w:hAnsi="Times New Roman" w:eastAsia="Times New Roman" w:cs="Times New Roman"/>
          <w:color w:val="000000"/>
          <w:sz w:val="24"/>
        </w:rPr>
        <w:t>The applied question is how this machinery behaves in a noisy, fixed-well assay workflow when judged on optimization and regional outcomes. Posterior credibility is conditional on the fitted model and need not provide nominal repeated-sampling coverage under misspecification or empirical-Bayes fitting [17--19]. An empty conservative set is logically valid but operationally uninformative, so containment among answered cases must accompany answer rate. This parallels established reject-option and selective-prediction reporting [21,22], although SPADE's set-level abstention is not selective classification.</w:t>
      </w:r>
    </w:p>
    <w:p>
      <w:r>
        <w:rPr>
          <w:rFonts w:ascii="Times New Roman" w:hAnsi="Times New Roman" w:eastAsia="Times New Roman" w:cs="Times New Roman"/>
          <w:color w:val="000000"/>
          <w:sz w:val="24"/>
        </w:rPr>
        <w:t>We ask whether SPADE preserves point-recipe quality relative to one implementation of noisy BO; whether matched-round adaptive sampling changes certified volume; whether a tested low-order DoE workflow trades point optimization against empirical regional containment; and what explains abstention across synthetic families and target prevalences. “Operating region” is deliberate: ICH design-space and process-validation concepts require evidence beyond this synthetic study [15,16].</w:t>
      </w:r>
    </w:p>
    <w:p>
      <w:pPr>
        <w:pStyle w:val="Heading2"/>
      </w:pPr>
      <w:r>
        <w:rPr>
          <w:rFonts w:ascii="Times New Roman" w:hAnsi="Times New Roman" w:eastAsia="Times New Roman" w:cs="Times New Roman"/>
          <w:color w:val="000000"/>
          <w:sz w:val="24"/>
        </w:rPr>
        <w:t>1.1 Contribution and novelty boundary</w:t>
      </w:r>
    </w:p>
    <w:p>
      <w:r>
        <w:rPr>
          <w:rFonts w:ascii="Times New Roman" w:hAnsi="Times New Roman" w:eastAsia="Times New Roman" w:cs="Times New Roman"/>
          <w:color w:val="000000"/>
          <w:sz w:val="24"/>
        </w:rPr>
        <w:t>Table 1 separates established ingredients, application-specific adaptation, and empirical contribution. The intended claim is integration plus evidence, not theoretical priority or universal superiority.</w:t>
      </w:r>
    </w:p>
    <w:p>
      <w:pPr>
        <w:keepNext/>
        <w:spacing w:before="160" w:after="80" w:line="240" w:lineRule="auto"/>
      </w:pPr>
      <w:r>
        <w:rPr>
          <w:rFonts w:ascii="Times New Roman" w:hAnsi="Times New Roman" w:eastAsia="Times New Roman" w:cs="Times New Roman"/>
          <w:b/>
          <w:color w:val="000000"/>
          <w:sz w:val="20"/>
        </w:rPr>
        <w:t>Table 1. Contribution and novelty map.</w:t>
      </w:r>
    </w:p>
    <w:tbl>
      <w:tblPr>
        <w:tblW w:type="auto" w:w="0"/>
        <w:jc w:val="center"/>
        <w:tblLayout w:type="fixed"/>
        <w:tblLook w:firstColumn="1" w:firstRow="1" w:lastColumn="0" w:lastRow="0" w:noHBand="0" w:noVBand="1" w:val="04A0"/>
      </w:tblPr>
      <w:tblGrid>
        <w:gridCol w:w="2500"/>
        <w:gridCol w:w="1900"/>
        <w:gridCol w:w="4960"/>
      </w:tblGrid>
      <w:tr>
        <w:trPr>
          <w:cantSplit/>
          <w:tblHeader w:val="true"/>
        </w:trPr>
        <w:tc>
          <w:tcPr>
            <w:tcW w:type="dxa" w:w="2500"/>
            <w:vAlign w:val="center"/>
            <w:tcMar>
              <w:top w:w="60" w:type="dxa"/>
              <w:start w:w="70" w:type="dxa"/>
              <w:bottom w:w="60" w:type="dxa"/>
              <w:end w:w="70" w:type="dxa"/>
            </w:tcMar>
            <w:tcBorders>
              <w:top w:val="single" w:sz="4" w:space="0" w:color="B7B7B7"/>
              <w:start w:val="single" w:sz="4" w:space="0" w:color="B7B7B7"/>
              <w:bottom w:val="single" w:sz="4" w:space="0" w:color="B7B7B7"/>
              <w:end w:val="single" w:sz="4" w:space="0" w:color="B7B7B7"/>
              <w:insideH w:val="single" w:sz="4" w:space="0" w:color="B7B7B7"/>
              <w:insideV w:val="single" w:sz="4" w:space="0" w:color="B7B7B7"/>
            </w:tcBorders>
            <w:shd w:fill="D9EAF7"/>
          </w:tcPr>
          <w:p>
            <w:pPr>
              <w:keepLines/>
              <w:spacing w:before="0" w:after="0" w:line="240" w:lineRule="auto"/>
            </w:pPr>
            <w:r>
              <w:rPr>
                <w:rFonts w:ascii="Times New Roman" w:hAnsi="Times New Roman" w:eastAsia="Times New Roman" w:cs="Times New Roman"/>
                <w:b/>
                <w:color w:val="000000"/>
                <w:sz w:val="16"/>
              </w:rPr>
              <w:t>Element</w:t>
            </w:r>
          </w:p>
        </w:tc>
        <w:tc>
          <w:tcPr>
            <w:tcW w:type="dxa" w:w="1900"/>
            <w:vAlign w:val="center"/>
            <w:tcMar>
              <w:top w:w="60" w:type="dxa"/>
              <w:start w:w="70" w:type="dxa"/>
              <w:bottom w:w="60" w:type="dxa"/>
              <w:end w:w="70" w:type="dxa"/>
            </w:tcMar>
            <w:tcBorders>
              <w:top w:val="single" w:sz="4" w:space="0" w:color="B7B7B7"/>
              <w:start w:val="single" w:sz="4" w:space="0" w:color="B7B7B7"/>
              <w:bottom w:val="single" w:sz="4" w:space="0" w:color="B7B7B7"/>
              <w:end w:val="single" w:sz="4" w:space="0" w:color="B7B7B7"/>
              <w:insideH w:val="single" w:sz="4" w:space="0" w:color="B7B7B7"/>
              <w:insideV w:val="single" w:sz="4" w:space="0" w:color="B7B7B7"/>
            </w:tcBorders>
            <w:shd w:fill="D9EAF7"/>
          </w:tcPr>
          <w:p>
            <w:pPr>
              <w:keepLines/>
              <w:spacing w:before="0" w:after="0" w:line="240" w:lineRule="auto"/>
            </w:pPr>
            <w:r>
              <w:rPr>
                <w:rFonts w:ascii="Times New Roman" w:hAnsi="Times New Roman" w:eastAsia="Times New Roman" w:cs="Times New Roman"/>
                <w:b/>
                <w:color w:val="000000"/>
                <w:sz w:val="16"/>
              </w:rPr>
              <w:t>Classification</w:t>
            </w:r>
          </w:p>
        </w:tc>
        <w:tc>
          <w:tcPr>
            <w:tcW w:type="dxa" w:w="4960"/>
            <w:vAlign w:val="center"/>
            <w:tcMar>
              <w:top w:w="60" w:type="dxa"/>
              <w:start w:w="70" w:type="dxa"/>
              <w:bottom w:w="60" w:type="dxa"/>
              <w:end w:w="70" w:type="dxa"/>
            </w:tcMar>
            <w:tcBorders>
              <w:top w:val="single" w:sz="4" w:space="0" w:color="B7B7B7"/>
              <w:start w:val="single" w:sz="4" w:space="0" w:color="B7B7B7"/>
              <w:bottom w:val="single" w:sz="4" w:space="0" w:color="B7B7B7"/>
              <w:end w:val="single" w:sz="4" w:space="0" w:color="B7B7B7"/>
              <w:insideH w:val="single" w:sz="4" w:space="0" w:color="B7B7B7"/>
              <w:insideV w:val="single" w:sz="4" w:space="0" w:color="B7B7B7"/>
            </w:tcBorders>
            <w:shd w:fill="D9EAF7"/>
          </w:tcPr>
          <w:p>
            <w:pPr>
              <w:keepLines/>
              <w:spacing w:before="0" w:after="0" w:line="240" w:lineRule="auto"/>
            </w:pPr>
            <w:r>
              <w:rPr>
                <w:rFonts w:ascii="Times New Roman" w:hAnsi="Times New Roman" w:eastAsia="Times New Roman" w:cs="Times New Roman"/>
                <w:b/>
                <w:color w:val="000000"/>
                <w:sz w:val="16"/>
              </w:rPr>
              <w:t>Scope in this study</w:t>
            </w:r>
          </w:p>
        </w:tc>
      </w:tr>
      <w:tr>
        <w:trPr>
          <w:cantSplit/>
        </w:trPr>
        <w:tc>
          <w:tcPr>
            <w:tcW w:type="dxa" w:w="2500"/>
            <w:vAlign w:val="center"/>
            <w:tcMar>
              <w:top w:w="60" w:type="dxa"/>
              <w:start w:w="70" w:type="dxa"/>
              <w:bottom w:w="60" w:type="dxa"/>
              <w:end w:w="70" w:type="dxa"/>
            </w:tcMar>
            <w:tcBorders>
              <w:top w:val="single" w:sz="4" w:space="0" w:color="B7B7B7"/>
              <w:start w:val="single" w:sz="4" w:space="0" w:color="B7B7B7"/>
              <w:bottom w:val="single" w:sz="4" w:space="0" w:color="B7B7B7"/>
              <w:end w:val="single" w:sz="4" w:space="0" w:color="B7B7B7"/>
              <w:insideH w:val="single" w:sz="4" w:space="0" w:color="B7B7B7"/>
              <w:insideV w:val="single" w:sz="4" w:space="0" w:color="B7B7B7"/>
            </w:tcBorders>
          </w:tcPr>
          <w:p>
            <w:pPr>
              <w:keepLines/>
              <w:spacing w:before="0" w:after="0" w:line="240" w:lineRule="auto"/>
            </w:pPr>
            <w:r>
              <w:rPr>
                <w:rFonts w:ascii="Times New Roman" w:hAnsi="Times New Roman" w:eastAsia="Times New Roman" w:cs="Times New Roman"/>
                <w:color w:val="000000"/>
                <w:sz w:val="16"/>
              </w:rPr>
              <w:t>GP excursion sets and boundary-focused sequential design</w:t>
            </w:r>
          </w:p>
        </w:tc>
        <w:tc>
          <w:tcPr>
            <w:tcW w:type="dxa" w:w="1900"/>
            <w:vAlign w:val="center"/>
            <w:tcMar>
              <w:top w:w="60" w:type="dxa"/>
              <w:start w:w="70" w:type="dxa"/>
              <w:bottom w:w="60" w:type="dxa"/>
              <w:end w:w="70" w:type="dxa"/>
            </w:tcMar>
            <w:tcBorders>
              <w:top w:val="single" w:sz="4" w:space="0" w:color="B7B7B7"/>
              <w:start w:val="single" w:sz="4" w:space="0" w:color="B7B7B7"/>
              <w:bottom w:val="single" w:sz="4" w:space="0" w:color="B7B7B7"/>
              <w:end w:val="single" w:sz="4" w:space="0" w:color="B7B7B7"/>
              <w:insideH w:val="single" w:sz="4" w:space="0" w:color="B7B7B7"/>
              <w:insideV w:val="single" w:sz="4" w:space="0" w:color="B7B7B7"/>
            </w:tcBorders>
          </w:tcPr>
          <w:p>
            <w:pPr>
              <w:keepLines/>
              <w:spacing w:before="0" w:after="0" w:line="240" w:lineRule="auto"/>
            </w:pPr>
            <w:r>
              <w:rPr>
                <w:rFonts w:ascii="Times New Roman" w:hAnsi="Times New Roman" w:eastAsia="Times New Roman" w:cs="Times New Roman"/>
                <w:color w:val="000000"/>
                <w:sz w:val="16"/>
              </w:rPr>
              <w:t>Established ingredient</w:t>
            </w:r>
          </w:p>
        </w:tc>
        <w:tc>
          <w:tcPr>
            <w:tcW w:type="dxa" w:w="4960"/>
            <w:vAlign w:val="center"/>
            <w:tcMar>
              <w:top w:w="60" w:type="dxa"/>
              <w:start w:w="70" w:type="dxa"/>
              <w:bottom w:w="60" w:type="dxa"/>
              <w:end w:w="70" w:type="dxa"/>
            </w:tcMar>
            <w:tcBorders>
              <w:top w:val="single" w:sz="4" w:space="0" w:color="B7B7B7"/>
              <w:start w:val="single" w:sz="4" w:space="0" w:color="B7B7B7"/>
              <w:bottom w:val="single" w:sz="4" w:space="0" w:color="B7B7B7"/>
              <w:end w:val="single" w:sz="4" w:space="0" w:color="B7B7B7"/>
              <w:insideH w:val="single" w:sz="4" w:space="0" w:color="B7B7B7"/>
              <w:insideV w:val="single" w:sz="4" w:space="0" w:color="B7B7B7"/>
            </w:tcBorders>
          </w:tcPr>
          <w:p>
            <w:pPr>
              <w:keepLines/>
              <w:spacing w:before="0" w:after="0" w:line="240" w:lineRule="auto"/>
            </w:pPr>
            <w:r>
              <w:rPr>
                <w:rFonts w:ascii="Times New Roman" w:hAnsi="Times New Roman" w:eastAsia="Times New Roman" w:cs="Times New Roman"/>
                <w:color w:val="000000"/>
                <w:sz w:val="16"/>
              </w:rPr>
              <w:t>Used within the GP level-set and batch-SUR tradition [1--4].</w:t>
            </w:r>
          </w:p>
        </w:tc>
      </w:tr>
      <w:tr>
        <w:trPr>
          <w:cantSplit/>
        </w:trPr>
        <w:tc>
          <w:tcPr>
            <w:tcW w:type="dxa" w:w="2500"/>
            <w:vAlign w:val="center"/>
            <w:tcMar>
              <w:top w:w="60" w:type="dxa"/>
              <w:start w:w="70" w:type="dxa"/>
              <w:bottom w:w="60" w:type="dxa"/>
              <w:end w:w="70" w:type="dxa"/>
            </w:tcMar>
            <w:tcBorders>
              <w:top w:val="single" w:sz="4" w:space="0" w:color="B7B7B7"/>
              <w:start w:val="single" w:sz="4" w:space="0" w:color="B7B7B7"/>
              <w:bottom w:val="single" w:sz="4" w:space="0" w:color="B7B7B7"/>
              <w:end w:val="single" w:sz="4" w:space="0" w:color="B7B7B7"/>
              <w:insideH w:val="single" w:sz="4" w:space="0" w:color="B7B7B7"/>
              <w:insideV w:val="single" w:sz="4" w:space="0" w:color="B7B7B7"/>
            </w:tcBorders>
          </w:tcPr>
          <w:p>
            <w:pPr>
              <w:keepLines/>
              <w:spacing w:before="0" w:after="0" w:line="240" w:lineRule="auto"/>
            </w:pPr>
            <w:r>
              <w:rPr>
                <w:rFonts w:ascii="Times New Roman" w:hAnsi="Times New Roman" w:eastAsia="Times New Roman" w:cs="Times New Roman"/>
                <w:color w:val="000000"/>
                <w:sz w:val="16"/>
              </w:rPr>
              <w:t>Posterior excursion draws and nested Vorob'ev quantiles</w:t>
            </w:r>
          </w:p>
        </w:tc>
        <w:tc>
          <w:tcPr>
            <w:tcW w:type="dxa" w:w="1900"/>
            <w:vAlign w:val="center"/>
            <w:tcMar>
              <w:top w:w="60" w:type="dxa"/>
              <w:start w:w="70" w:type="dxa"/>
              <w:bottom w:w="60" w:type="dxa"/>
              <w:end w:w="70" w:type="dxa"/>
            </w:tcMar>
            <w:tcBorders>
              <w:top w:val="single" w:sz="4" w:space="0" w:color="B7B7B7"/>
              <w:start w:val="single" w:sz="4" w:space="0" w:color="B7B7B7"/>
              <w:bottom w:val="single" w:sz="4" w:space="0" w:color="B7B7B7"/>
              <w:end w:val="single" w:sz="4" w:space="0" w:color="B7B7B7"/>
              <w:insideH w:val="single" w:sz="4" w:space="0" w:color="B7B7B7"/>
              <w:insideV w:val="single" w:sz="4" w:space="0" w:color="B7B7B7"/>
            </w:tcBorders>
          </w:tcPr>
          <w:p>
            <w:pPr>
              <w:keepLines/>
              <w:spacing w:before="0" w:after="0" w:line="240" w:lineRule="auto"/>
            </w:pPr>
            <w:r>
              <w:rPr>
                <w:rFonts w:ascii="Times New Roman" w:hAnsi="Times New Roman" w:eastAsia="Times New Roman" w:cs="Times New Roman"/>
                <w:color w:val="000000"/>
                <w:sz w:val="16"/>
              </w:rPr>
              <w:t>Established ingredient</w:t>
            </w:r>
          </w:p>
        </w:tc>
        <w:tc>
          <w:tcPr>
            <w:tcW w:type="dxa" w:w="4960"/>
            <w:vAlign w:val="center"/>
            <w:tcMar>
              <w:top w:w="60" w:type="dxa"/>
              <w:start w:w="70" w:type="dxa"/>
              <w:bottom w:w="60" w:type="dxa"/>
              <w:end w:w="70" w:type="dxa"/>
            </w:tcMar>
            <w:tcBorders>
              <w:top w:val="single" w:sz="4" w:space="0" w:color="B7B7B7"/>
              <w:start w:val="single" w:sz="4" w:space="0" w:color="B7B7B7"/>
              <w:bottom w:val="single" w:sz="4" w:space="0" w:color="B7B7B7"/>
              <w:end w:val="single" w:sz="4" w:space="0" w:color="B7B7B7"/>
              <w:insideH w:val="single" w:sz="4" w:space="0" w:color="B7B7B7"/>
              <w:insideV w:val="single" w:sz="4" w:space="0" w:color="B7B7B7"/>
            </w:tcBorders>
          </w:tcPr>
          <w:p>
            <w:pPr>
              <w:keepLines/>
              <w:spacing w:before="0" w:after="0" w:line="240" w:lineRule="auto"/>
            </w:pPr>
            <w:r>
              <w:rPr>
                <w:rFonts w:ascii="Times New Roman" w:hAnsi="Times New Roman" w:eastAsia="Times New Roman" w:cs="Times New Roman"/>
                <w:color w:val="000000"/>
                <w:sz w:val="16"/>
              </w:rPr>
              <w:t>Used as established random-set summaries [4--8].</w:t>
            </w:r>
          </w:p>
        </w:tc>
      </w:tr>
      <w:tr>
        <w:trPr>
          <w:cantSplit/>
        </w:trPr>
        <w:tc>
          <w:tcPr>
            <w:tcW w:type="dxa" w:w="2500"/>
            <w:vAlign w:val="center"/>
            <w:tcMar>
              <w:top w:w="60" w:type="dxa"/>
              <w:start w:w="70" w:type="dxa"/>
              <w:bottom w:w="60" w:type="dxa"/>
              <w:end w:w="70" w:type="dxa"/>
            </w:tcMar>
            <w:tcBorders>
              <w:top w:val="single" w:sz="4" w:space="0" w:color="B7B7B7"/>
              <w:start w:val="single" w:sz="4" w:space="0" w:color="B7B7B7"/>
              <w:bottom w:val="single" w:sz="4" w:space="0" w:color="B7B7B7"/>
              <w:end w:val="single" w:sz="4" w:space="0" w:color="B7B7B7"/>
              <w:insideH w:val="single" w:sz="4" w:space="0" w:color="B7B7B7"/>
              <w:insideV w:val="single" w:sz="4" w:space="0" w:color="B7B7B7"/>
            </w:tcBorders>
          </w:tcPr>
          <w:p>
            <w:pPr>
              <w:keepLines/>
              <w:spacing w:before="0" w:after="0" w:line="240" w:lineRule="auto"/>
            </w:pPr>
            <w:r>
              <w:rPr>
                <w:rFonts w:ascii="Times New Roman" w:hAnsi="Times New Roman" w:eastAsia="Times New Roman" w:cs="Times New Roman"/>
                <w:color w:val="000000"/>
                <w:sz w:val="16"/>
              </w:rPr>
              <w:t>High-volume candidate satisfying joint posterior containment</w:t>
            </w:r>
          </w:p>
        </w:tc>
        <w:tc>
          <w:tcPr>
            <w:tcW w:type="dxa" w:w="1900"/>
            <w:vAlign w:val="center"/>
            <w:tcMar>
              <w:top w:w="60" w:type="dxa"/>
              <w:start w:w="70" w:type="dxa"/>
              <w:bottom w:w="60" w:type="dxa"/>
              <w:end w:w="70" w:type="dxa"/>
            </w:tcMar>
            <w:tcBorders>
              <w:top w:val="single" w:sz="4" w:space="0" w:color="B7B7B7"/>
              <w:start w:val="single" w:sz="4" w:space="0" w:color="B7B7B7"/>
              <w:bottom w:val="single" w:sz="4" w:space="0" w:color="B7B7B7"/>
              <w:end w:val="single" w:sz="4" w:space="0" w:color="B7B7B7"/>
              <w:insideH w:val="single" w:sz="4" w:space="0" w:color="B7B7B7"/>
              <w:insideV w:val="single" w:sz="4" w:space="0" w:color="B7B7B7"/>
            </w:tcBorders>
          </w:tcPr>
          <w:p>
            <w:pPr>
              <w:keepLines/>
              <w:spacing w:before="0" w:after="0" w:line="240" w:lineRule="auto"/>
            </w:pPr>
            <w:r>
              <w:rPr>
                <w:rFonts w:ascii="Times New Roman" w:hAnsi="Times New Roman" w:eastAsia="Times New Roman" w:cs="Times New Roman"/>
                <w:color w:val="000000"/>
                <w:sz w:val="16"/>
              </w:rPr>
              <w:t>Established ingredient; close antecedent</w:t>
            </w:r>
          </w:p>
        </w:tc>
        <w:tc>
          <w:tcPr>
            <w:tcW w:type="dxa" w:w="4960"/>
            <w:vAlign w:val="center"/>
            <w:tcMar>
              <w:top w:w="60" w:type="dxa"/>
              <w:start w:w="70" w:type="dxa"/>
              <w:bottom w:w="60" w:type="dxa"/>
              <w:end w:w="70" w:type="dxa"/>
            </w:tcMar>
            <w:tcBorders>
              <w:top w:val="single" w:sz="4" w:space="0" w:color="B7B7B7"/>
              <w:start w:val="single" w:sz="4" w:space="0" w:color="B7B7B7"/>
              <w:bottom w:val="single" w:sz="4" w:space="0" w:color="B7B7B7"/>
              <w:end w:val="single" w:sz="4" w:space="0" w:color="B7B7B7"/>
              <w:insideH w:val="single" w:sz="4" w:space="0" w:color="B7B7B7"/>
              <w:insideV w:val="single" w:sz="4" w:space="0" w:color="B7B7B7"/>
            </w:tcBorders>
          </w:tcPr>
          <w:p>
            <w:pPr>
              <w:keepLines/>
              <w:spacing w:before="0" w:after="0" w:line="240" w:lineRule="auto"/>
            </w:pPr>
            <w:r>
              <w:rPr>
                <w:rFonts w:ascii="Times New Roman" w:hAnsi="Times New Roman" w:eastAsia="Times New Roman" w:cs="Times New Roman"/>
                <w:color w:val="000000"/>
                <w:sz w:val="16"/>
              </w:rPr>
              <w:t xml:space="preserve">Azzimonti </w:t>
            </w:r>
            <w:r>
              <w:rPr>
                <w:rFonts w:ascii="Times New Roman" w:hAnsi="Times New Roman" w:eastAsia="Times New Roman" w:cs="Times New Roman"/>
                <w:i/>
                <w:color w:val="000000"/>
                <w:sz w:val="16"/>
              </w:rPr>
              <w:t>et al.</w:t>
            </w:r>
            <w:r>
              <w:rPr>
                <w:rFonts w:ascii="Times New Roman" w:hAnsi="Times New Roman" w:eastAsia="Times New Roman" w:cs="Times New Roman"/>
                <w:color w:val="000000"/>
                <w:sz w:val="16"/>
              </w:rPr>
              <w:t xml:space="preserve"> [4] give essentially this formulation. SPADE searches registered nested candidates on a finite grid, not all measurable subsets.</w:t>
            </w:r>
          </w:p>
        </w:tc>
      </w:tr>
      <w:tr>
        <w:trPr>
          <w:cantSplit/>
        </w:trPr>
        <w:tc>
          <w:tcPr>
            <w:tcW w:type="dxa" w:w="2500"/>
            <w:vAlign w:val="center"/>
            <w:tcMar>
              <w:top w:w="60" w:type="dxa"/>
              <w:start w:w="70" w:type="dxa"/>
              <w:bottom w:w="60" w:type="dxa"/>
              <w:end w:w="70" w:type="dxa"/>
            </w:tcMar>
            <w:tcBorders>
              <w:top w:val="single" w:sz="4" w:space="0" w:color="B7B7B7"/>
              <w:start w:val="single" w:sz="4" w:space="0" w:color="B7B7B7"/>
              <w:bottom w:val="single" w:sz="4" w:space="0" w:color="B7B7B7"/>
              <w:end w:val="single" w:sz="4" w:space="0" w:color="B7B7B7"/>
              <w:insideH w:val="single" w:sz="4" w:space="0" w:color="B7B7B7"/>
              <w:insideV w:val="single" w:sz="4" w:space="0" w:color="B7B7B7"/>
            </w:tcBorders>
          </w:tcPr>
          <w:p>
            <w:pPr>
              <w:keepLines/>
              <w:spacing w:before="0" w:after="0" w:line="240" w:lineRule="auto"/>
            </w:pPr>
            <w:r>
              <w:rPr>
                <w:rFonts w:ascii="Times New Roman" w:hAnsi="Times New Roman" w:eastAsia="Times New Roman" w:cs="Times New Roman"/>
                <w:color w:val="000000"/>
                <w:sz w:val="16"/>
              </w:rPr>
              <w:t>qLogNEI and low-order response-surface DoE</w:t>
            </w:r>
          </w:p>
        </w:tc>
        <w:tc>
          <w:tcPr>
            <w:tcW w:type="dxa" w:w="1900"/>
            <w:vAlign w:val="center"/>
            <w:tcMar>
              <w:top w:w="60" w:type="dxa"/>
              <w:start w:w="70" w:type="dxa"/>
              <w:bottom w:w="60" w:type="dxa"/>
              <w:end w:w="70" w:type="dxa"/>
            </w:tcMar>
            <w:tcBorders>
              <w:top w:val="single" w:sz="4" w:space="0" w:color="B7B7B7"/>
              <w:start w:val="single" w:sz="4" w:space="0" w:color="B7B7B7"/>
              <w:bottom w:val="single" w:sz="4" w:space="0" w:color="B7B7B7"/>
              <w:end w:val="single" w:sz="4" w:space="0" w:color="B7B7B7"/>
              <w:insideH w:val="single" w:sz="4" w:space="0" w:color="B7B7B7"/>
              <w:insideV w:val="single" w:sz="4" w:space="0" w:color="B7B7B7"/>
            </w:tcBorders>
          </w:tcPr>
          <w:p>
            <w:pPr>
              <w:keepLines/>
              <w:spacing w:before="0" w:after="0" w:line="240" w:lineRule="auto"/>
            </w:pPr>
            <w:r>
              <w:rPr>
                <w:rFonts w:ascii="Times New Roman" w:hAnsi="Times New Roman" w:eastAsia="Times New Roman" w:cs="Times New Roman"/>
                <w:color w:val="000000"/>
                <w:sz w:val="16"/>
              </w:rPr>
              <w:t>Established comparator ingredients</w:t>
            </w:r>
          </w:p>
        </w:tc>
        <w:tc>
          <w:tcPr>
            <w:tcW w:type="dxa" w:w="4960"/>
            <w:vAlign w:val="center"/>
            <w:tcMar>
              <w:top w:w="60" w:type="dxa"/>
              <w:start w:w="70" w:type="dxa"/>
              <w:bottom w:w="60" w:type="dxa"/>
              <w:end w:w="70" w:type="dxa"/>
            </w:tcMar>
            <w:tcBorders>
              <w:top w:val="single" w:sz="4" w:space="0" w:color="B7B7B7"/>
              <w:start w:val="single" w:sz="4" w:space="0" w:color="B7B7B7"/>
              <w:bottom w:val="single" w:sz="4" w:space="0" w:color="B7B7B7"/>
              <w:end w:val="single" w:sz="4" w:space="0" w:color="B7B7B7"/>
              <w:insideH w:val="single" w:sz="4" w:space="0" w:color="B7B7B7"/>
              <w:insideV w:val="single" w:sz="4" w:space="0" w:color="B7B7B7"/>
            </w:tcBorders>
          </w:tcPr>
          <w:p>
            <w:pPr>
              <w:keepLines/>
              <w:spacing w:before="0" w:after="0" w:line="240" w:lineRule="auto"/>
            </w:pPr>
            <w:r>
              <w:rPr>
                <w:rFonts w:ascii="Times New Roman" w:hAnsi="Times New Roman" w:eastAsia="Times New Roman" w:cs="Times New Roman"/>
                <w:color w:val="000000"/>
                <w:sz w:val="16"/>
              </w:rPr>
              <w:t>qLogNEI is one noisy point-optimization policy [10--12]; the DoE pipeline is study-specific [13,14].</w:t>
            </w:r>
          </w:p>
        </w:tc>
      </w:tr>
      <w:tr>
        <w:trPr>
          <w:cantSplit/>
        </w:trPr>
        <w:tc>
          <w:tcPr>
            <w:tcW w:type="dxa" w:w="2500"/>
            <w:vAlign w:val="center"/>
            <w:tcMar>
              <w:top w:w="60" w:type="dxa"/>
              <w:start w:w="70" w:type="dxa"/>
              <w:bottom w:w="60" w:type="dxa"/>
              <w:end w:w="70" w:type="dxa"/>
            </w:tcMar>
            <w:tcBorders>
              <w:top w:val="single" w:sz="4" w:space="0" w:color="B7B7B7"/>
              <w:start w:val="single" w:sz="4" w:space="0" w:color="B7B7B7"/>
              <w:bottom w:val="single" w:sz="4" w:space="0" w:color="B7B7B7"/>
              <w:end w:val="single" w:sz="4" w:space="0" w:color="B7B7B7"/>
              <w:insideH w:val="single" w:sz="4" w:space="0" w:color="B7B7B7"/>
              <w:insideV w:val="single" w:sz="4" w:space="0" w:color="B7B7B7"/>
            </w:tcBorders>
          </w:tcPr>
          <w:p>
            <w:pPr>
              <w:keepLines/>
              <w:spacing w:before="0" w:after="0" w:line="240" w:lineRule="auto"/>
            </w:pPr>
            <w:r>
              <w:rPr>
                <w:rFonts w:ascii="Times New Roman" w:hAnsi="Times New Roman" w:eastAsia="Times New Roman" w:cs="Times New Roman"/>
                <w:color w:val="000000"/>
                <w:sz w:val="16"/>
              </w:rPr>
              <w:t>Per-well plug-in variances, 48-well schedules, eight-well later batches, empty answer</w:t>
            </w:r>
          </w:p>
        </w:tc>
        <w:tc>
          <w:tcPr>
            <w:tcW w:type="dxa" w:w="1900"/>
            <w:vAlign w:val="center"/>
            <w:tcMar>
              <w:top w:w="60" w:type="dxa"/>
              <w:start w:w="70" w:type="dxa"/>
              <w:bottom w:w="60" w:type="dxa"/>
              <w:end w:w="70" w:type="dxa"/>
            </w:tcMar>
            <w:tcBorders>
              <w:top w:val="single" w:sz="4" w:space="0" w:color="B7B7B7"/>
              <w:start w:val="single" w:sz="4" w:space="0" w:color="B7B7B7"/>
              <w:bottom w:val="single" w:sz="4" w:space="0" w:color="B7B7B7"/>
              <w:end w:val="single" w:sz="4" w:space="0" w:color="B7B7B7"/>
              <w:insideH w:val="single" w:sz="4" w:space="0" w:color="B7B7B7"/>
              <w:insideV w:val="single" w:sz="4" w:space="0" w:color="B7B7B7"/>
            </w:tcBorders>
          </w:tcPr>
          <w:p>
            <w:pPr>
              <w:keepLines/>
              <w:spacing w:before="0" w:after="0" w:line="240" w:lineRule="auto"/>
            </w:pPr>
            <w:r>
              <w:rPr>
                <w:rFonts w:ascii="Times New Roman" w:hAnsi="Times New Roman" w:eastAsia="Times New Roman" w:cs="Times New Roman"/>
                <w:color w:val="000000"/>
                <w:sz w:val="16"/>
              </w:rPr>
              <w:t>SPADE-specific assay adaptation</w:t>
            </w:r>
          </w:p>
        </w:tc>
        <w:tc>
          <w:tcPr>
            <w:tcW w:type="dxa" w:w="4960"/>
            <w:vAlign w:val="center"/>
            <w:tcMar>
              <w:top w:w="60" w:type="dxa"/>
              <w:start w:w="70" w:type="dxa"/>
              <w:bottom w:w="60" w:type="dxa"/>
              <w:end w:w="70" w:type="dxa"/>
            </w:tcMar>
            <w:tcBorders>
              <w:top w:val="single" w:sz="4" w:space="0" w:color="B7B7B7"/>
              <w:start w:val="single" w:sz="4" w:space="0" w:color="B7B7B7"/>
              <w:bottom w:val="single" w:sz="4" w:space="0" w:color="B7B7B7"/>
              <w:end w:val="single" w:sz="4" w:space="0" w:color="B7B7B7"/>
              <w:insideH w:val="single" w:sz="4" w:space="0" w:color="B7B7B7"/>
              <w:insideV w:val="single" w:sz="4" w:space="0" w:color="B7B7B7"/>
            </w:tcBorders>
          </w:tcPr>
          <w:p>
            <w:pPr>
              <w:keepLines/>
              <w:spacing w:before="0" w:after="0" w:line="240" w:lineRule="auto"/>
            </w:pPr>
            <w:r>
              <w:rPr>
                <w:rFonts w:ascii="Times New Roman" w:hAnsi="Times New Roman" w:eastAsia="Times New Roman" w:cs="Times New Roman"/>
                <w:color w:val="000000"/>
                <w:sz w:val="16"/>
              </w:rPr>
              <w:t>Engineering adaptation to the operational setting; not new heteroscedastic-GP or abstention theory.</w:t>
            </w:r>
          </w:p>
        </w:tc>
      </w:tr>
      <w:tr>
        <w:trPr>
          <w:cantSplit/>
        </w:trPr>
        <w:tc>
          <w:tcPr>
            <w:tcW w:type="dxa" w:w="2500"/>
            <w:vAlign w:val="center"/>
            <w:tcMar>
              <w:top w:w="60" w:type="dxa"/>
              <w:start w:w="70" w:type="dxa"/>
              <w:bottom w:w="60" w:type="dxa"/>
              <w:end w:w="70" w:type="dxa"/>
            </w:tcMar>
            <w:tcBorders>
              <w:top w:val="single" w:sz="4" w:space="0" w:color="B7B7B7"/>
              <w:start w:val="single" w:sz="4" w:space="0" w:color="B7B7B7"/>
              <w:bottom w:val="single" w:sz="4" w:space="0" w:color="B7B7B7"/>
              <w:end w:val="single" w:sz="4" w:space="0" w:color="B7B7B7"/>
              <w:insideH w:val="single" w:sz="4" w:space="0" w:color="B7B7B7"/>
              <w:insideV w:val="single" w:sz="4" w:space="0" w:color="B7B7B7"/>
            </w:tcBorders>
          </w:tcPr>
          <w:p>
            <w:pPr>
              <w:keepLines/>
              <w:spacing w:before="0" w:after="0" w:line="240" w:lineRule="auto"/>
            </w:pPr>
            <w:r>
              <w:rPr>
                <w:rFonts w:ascii="Times New Roman" w:hAnsi="Times New Roman" w:eastAsia="Times New Roman" w:cs="Times New Roman"/>
                <w:color w:val="000000"/>
                <w:sz w:val="16"/>
              </w:rPr>
              <w:t>LC/C3 held-out-family inflation and DC/C2 in-sample selection/fallback</w:t>
            </w:r>
          </w:p>
        </w:tc>
        <w:tc>
          <w:tcPr>
            <w:tcW w:type="dxa" w:w="1900"/>
            <w:vAlign w:val="center"/>
            <w:tcMar>
              <w:top w:w="60" w:type="dxa"/>
              <w:start w:w="70" w:type="dxa"/>
              <w:bottom w:w="60" w:type="dxa"/>
              <w:end w:w="70" w:type="dxa"/>
            </w:tcMar>
            <w:tcBorders>
              <w:top w:val="single" w:sz="4" w:space="0" w:color="B7B7B7"/>
              <w:start w:val="single" w:sz="4" w:space="0" w:color="B7B7B7"/>
              <w:bottom w:val="single" w:sz="4" w:space="0" w:color="B7B7B7"/>
              <w:end w:val="single" w:sz="4" w:space="0" w:color="B7B7B7"/>
              <w:insideH w:val="single" w:sz="4" w:space="0" w:color="B7B7B7"/>
              <w:insideV w:val="single" w:sz="4" w:space="0" w:color="B7B7B7"/>
            </w:tcBorders>
          </w:tcPr>
          <w:p>
            <w:pPr>
              <w:keepLines/>
              <w:spacing w:before="0" w:after="0" w:line="240" w:lineRule="auto"/>
            </w:pPr>
            <w:r>
              <w:rPr>
                <w:rFonts w:ascii="Times New Roman" w:hAnsi="Times New Roman" w:eastAsia="Times New Roman" w:cs="Times New Roman"/>
                <w:color w:val="000000"/>
                <w:sz w:val="16"/>
              </w:rPr>
              <w:t>Study-specific analysis adaptation</w:t>
            </w:r>
          </w:p>
        </w:tc>
        <w:tc>
          <w:tcPr>
            <w:tcW w:type="dxa" w:w="4960"/>
            <w:vAlign w:val="center"/>
            <w:tcMar>
              <w:top w:w="60" w:type="dxa"/>
              <w:start w:w="70" w:type="dxa"/>
              <w:bottom w:w="60" w:type="dxa"/>
              <w:end w:w="70" w:type="dxa"/>
            </w:tcMar>
            <w:tcBorders>
              <w:top w:val="single" w:sz="4" w:space="0" w:color="B7B7B7"/>
              <w:start w:val="single" w:sz="4" w:space="0" w:color="B7B7B7"/>
              <w:bottom w:val="single" w:sz="4" w:space="0" w:color="B7B7B7"/>
              <w:end w:val="single" w:sz="4" w:space="0" w:color="B7B7B7"/>
              <w:insideH w:val="single" w:sz="4" w:space="0" w:color="B7B7B7"/>
              <w:insideV w:val="single" w:sz="4" w:space="0" w:color="B7B7B7"/>
            </w:tcBorders>
          </w:tcPr>
          <w:p>
            <w:pPr>
              <w:keepLines/>
              <w:spacing w:before="0" w:after="0" w:line="240" w:lineRule="auto"/>
            </w:pPr>
            <w:r>
              <w:rPr>
                <w:rFonts w:ascii="Times New Roman" w:hAnsi="Times New Roman" w:eastAsia="Times New Roman" w:cs="Times New Roman"/>
                <w:color w:val="000000"/>
                <w:sz w:val="16"/>
              </w:rPr>
              <w:t xml:space="preserve">LC selects inflation without the held-out family. In DC, SPADE selects </w:t>
            </w:r>
            <w:r>
              <w:rPr>
                <w:rFonts w:ascii="Times New Roman" w:hAnsi="Times New Roman" w:eastAsia="Times New Roman" w:cs="Times New Roman"/>
                <w:color w:val="000000"/>
                <w:sz w:val="16"/>
              </w:rPr>
              <w:t>c=1</w:t>
            </w:r>
            <w:r>
              <w:rPr>
                <w:rFonts w:ascii="Times New Roman" w:hAnsi="Times New Roman" w:eastAsia="Times New Roman" w:cs="Times New Roman"/>
                <w:color w:val="000000"/>
                <w:sz w:val="16"/>
              </w:rPr>
              <w:t xml:space="preserve"> in sample; neither DoE arm passes, so DoE is diagnosed at baseline </w:t>
            </w:r>
            <w:r>
              <w:rPr>
                <w:rFonts w:ascii="Times New Roman" w:hAnsi="Times New Roman" w:eastAsia="Times New Roman" w:cs="Times New Roman"/>
                <w:color w:val="000000"/>
                <w:sz w:val="16"/>
              </w:rPr>
              <w:t>c=1</w:t>
            </w:r>
            <w:r>
              <w:rPr>
                <w:rFonts w:ascii="Times New Roman" w:hAnsi="Times New Roman" w:eastAsia="Times New Roman" w:cs="Times New Roman"/>
                <w:color w:val="000000"/>
                <w:sz w:val="16"/>
              </w:rPr>
              <w:t>. Neither procedure is distribution-free or prospectively validated.</w:t>
            </w:r>
          </w:p>
        </w:tc>
      </w:tr>
      <w:tr>
        <w:trPr>
          <w:cantSplit/>
        </w:trPr>
        <w:tc>
          <w:tcPr>
            <w:tcW w:type="dxa" w:w="2500"/>
            <w:vAlign w:val="center"/>
            <w:tcMar>
              <w:top w:w="60" w:type="dxa"/>
              <w:start w:w="70" w:type="dxa"/>
              <w:bottom w:w="60" w:type="dxa"/>
              <w:end w:w="70" w:type="dxa"/>
            </w:tcMar>
            <w:tcBorders>
              <w:top w:val="single" w:sz="4" w:space="0" w:color="B7B7B7"/>
              <w:start w:val="single" w:sz="4" w:space="0" w:color="B7B7B7"/>
              <w:bottom w:val="single" w:sz="4" w:space="0" w:color="B7B7B7"/>
              <w:end w:val="single" w:sz="4" w:space="0" w:color="B7B7B7"/>
              <w:insideH w:val="single" w:sz="4" w:space="0" w:color="B7B7B7"/>
              <w:insideV w:val="single" w:sz="4" w:space="0" w:color="B7B7B7"/>
            </w:tcBorders>
          </w:tcPr>
          <w:p>
            <w:pPr>
              <w:keepLines/>
              <w:spacing w:before="0" w:after="0" w:line="240" w:lineRule="auto"/>
            </w:pPr>
            <w:r>
              <w:rPr>
                <w:rFonts w:ascii="Times New Roman" w:hAnsi="Times New Roman" w:eastAsia="Times New Roman" w:cs="Times New Roman"/>
                <w:color w:val="000000"/>
                <w:sz w:val="16"/>
              </w:rPr>
              <w:t>Common regional estimator for SPADE, qLogNEI, and DoE observations</w:t>
            </w:r>
          </w:p>
        </w:tc>
        <w:tc>
          <w:tcPr>
            <w:tcW w:type="dxa" w:w="1900"/>
            <w:vAlign w:val="center"/>
            <w:tcMar>
              <w:top w:w="60" w:type="dxa"/>
              <w:start w:w="70" w:type="dxa"/>
              <w:bottom w:w="60" w:type="dxa"/>
              <w:end w:w="70" w:type="dxa"/>
            </w:tcMar>
            <w:tcBorders>
              <w:top w:val="single" w:sz="4" w:space="0" w:color="B7B7B7"/>
              <w:start w:val="single" w:sz="4" w:space="0" w:color="B7B7B7"/>
              <w:bottom w:val="single" w:sz="4" w:space="0" w:color="B7B7B7"/>
              <w:end w:val="single" w:sz="4" w:space="0" w:color="B7B7B7"/>
              <w:insideH w:val="single" w:sz="4" w:space="0" w:color="B7B7B7"/>
              <w:insideV w:val="single" w:sz="4" w:space="0" w:color="B7B7B7"/>
            </w:tcBorders>
          </w:tcPr>
          <w:p>
            <w:pPr>
              <w:keepLines/>
              <w:spacing w:before="0" w:after="0" w:line="240" w:lineRule="auto"/>
            </w:pPr>
            <w:r>
              <w:rPr>
                <w:rFonts w:ascii="Times New Roman" w:hAnsi="Times New Roman" w:eastAsia="Times New Roman" w:cs="Times New Roman"/>
                <w:color w:val="000000"/>
                <w:sz w:val="16"/>
              </w:rPr>
              <w:t>Comparative-design contribution</w:t>
            </w:r>
          </w:p>
        </w:tc>
        <w:tc>
          <w:tcPr>
            <w:tcW w:type="dxa" w:w="4960"/>
            <w:vAlign w:val="center"/>
            <w:tcMar>
              <w:top w:w="60" w:type="dxa"/>
              <w:start w:w="70" w:type="dxa"/>
              <w:bottom w:w="60" w:type="dxa"/>
              <w:end w:w="70" w:type="dxa"/>
            </w:tcMar>
            <w:tcBorders>
              <w:top w:val="single" w:sz="4" w:space="0" w:color="B7B7B7"/>
              <w:start w:val="single" w:sz="4" w:space="0" w:color="B7B7B7"/>
              <w:bottom w:val="single" w:sz="4" w:space="0" w:color="B7B7B7"/>
              <w:end w:val="single" w:sz="4" w:space="0" w:color="B7B7B7"/>
              <w:insideH w:val="single" w:sz="4" w:space="0" w:color="B7B7B7"/>
              <w:insideV w:val="single" w:sz="4" w:space="0" w:color="B7B7B7"/>
            </w:tcBorders>
          </w:tcPr>
          <w:p>
            <w:pPr>
              <w:keepLines/>
              <w:spacing w:before="0" w:after="0" w:line="240" w:lineRule="auto"/>
            </w:pPr>
            <w:r>
              <w:rPr>
                <w:rFonts w:ascii="Times New Roman" w:hAnsi="Times New Roman" w:eastAsia="Times New Roman" w:cs="Times New Roman"/>
                <w:color w:val="000000"/>
                <w:sz w:val="16"/>
              </w:rPr>
              <w:t>Isolates acquisition/design within the tested pipelines.</w:t>
            </w:r>
          </w:p>
        </w:tc>
      </w:tr>
      <w:tr>
        <w:trPr>
          <w:cantSplit/>
        </w:trPr>
        <w:tc>
          <w:tcPr>
            <w:tcW w:type="dxa" w:w="2500"/>
            <w:vAlign w:val="center"/>
            <w:tcMar>
              <w:top w:w="60" w:type="dxa"/>
              <w:start w:w="70" w:type="dxa"/>
              <w:bottom w:w="60" w:type="dxa"/>
              <w:end w:w="70" w:type="dxa"/>
            </w:tcMar>
            <w:tcBorders>
              <w:top w:val="single" w:sz="4" w:space="0" w:color="B7B7B7"/>
              <w:start w:val="single" w:sz="4" w:space="0" w:color="B7B7B7"/>
              <w:bottom w:val="single" w:sz="4" w:space="0" w:color="B7B7B7"/>
              <w:end w:val="single" w:sz="4" w:space="0" w:color="B7B7B7"/>
              <w:insideH w:val="single" w:sz="4" w:space="0" w:color="B7B7B7"/>
              <w:insideV w:val="single" w:sz="4" w:space="0" w:color="B7B7B7"/>
            </w:tcBorders>
          </w:tcPr>
          <w:p>
            <w:pPr>
              <w:keepLines/>
              <w:spacing w:before="0" w:after="0" w:line="240" w:lineRule="auto"/>
            </w:pPr>
            <w:r>
              <w:rPr>
                <w:rFonts w:ascii="Times New Roman" w:hAnsi="Times New Roman" w:eastAsia="Times New Roman" w:cs="Times New Roman"/>
                <w:color w:val="000000"/>
                <w:sz w:val="16"/>
              </w:rPr>
              <w:t>Regret, volume, answer-rate, and truth-containment results</w:t>
            </w:r>
          </w:p>
        </w:tc>
        <w:tc>
          <w:tcPr>
            <w:tcW w:type="dxa" w:w="1900"/>
            <w:vAlign w:val="center"/>
            <w:tcMar>
              <w:top w:w="60" w:type="dxa"/>
              <w:start w:w="70" w:type="dxa"/>
              <w:bottom w:w="60" w:type="dxa"/>
              <w:end w:w="70" w:type="dxa"/>
            </w:tcMar>
            <w:tcBorders>
              <w:top w:val="single" w:sz="4" w:space="0" w:color="B7B7B7"/>
              <w:start w:val="single" w:sz="4" w:space="0" w:color="B7B7B7"/>
              <w:bottom w:val="single" w:sz="4" w:space="0" w:color="B7B7B7"/>
              <w:end w:val="single" w:sz="4" w:space="0" w:color="B7B7B7"/>
              <w:insideH w:val="single" w:sz="4" w:space="0" w:color="B7B7B7"/>
              <w:insideV w:val="single" w:sz="4" w:space="0" w:color="B7B7B7"/>
            </w:tcBorders>
          </w:tcPr>
          <w:p>
            <w:pPr>
              <w:keepLines/>
              <w:spacing w:before="0" w:after="0" w:line="240" w:lineRule="auto"/>
            </w:pPr>
            <w:r>
              <w:rPr>
                <w:rFonts w:ascii="Times New Roman" w:hAnsi="Times New Roman" w:eastAsia="Times New Roman" w:cs="Times New Roman"/>
                <w:color w:val="000000"/>
                <w:sz w:val="16"/>
              </w:rPr>
              <w:t>Empirical contribution</w:t>
            </w:r>
          </w:p>
        </w:tc>
        <w:tc>
          <w:tcPr>
            <w:tcW w:type="dxa" w:w="4960"/>
            <w:vAlign w:val="center"/>
            <w:tcMar>
              <w:top w:w="60" w:type="dxa"/>
              <w:start w:w="70" w:type="dxa"/>
              <w:bottom w:w="60" w:type="dxa"/>
              <w:end w:w="70" w:type="dxa"/>
            </w:tcMar>
            <w:tcBorders>
              <w:top w:val="single" w:sz="4" w:space="0" w:color="B7B7B7"/>
              <w:start w:val="single" w:sz="4" w:space="0" w:color="B7B7B7"/>
              <w:bottom w:val="single" w:sz="4" w:space="0" w:color="B7B7B7"/>
              <w:end w:val="single" w:sz="4" w:space="0" w:color="B7B7B7"/>
              <w:insideH w:val="single" w:sz="4" w:space="0" w:color="B7B7B7"/>
              <w:insideV w:val="single" w:sz="4" w:space="0" w:color="B7B7B7"/>
            </w:tcBorders>
          </w:tcPr>
          <w:p>
            <w:pPr>
              <w:keepLines/>
              <w:spacing w:before="0" w:after="0" w:line="240" w:lineRule="auto"/>
            </w:pPr>
            <w:r>
              <w:rPr>
                <w:rFonts w:ascii="Times New Roman" w:hAnsi="Times New Roman" w:eastAsia="Times New Roman" w:cs="Times New Roman"/>
                <w:color w:val="000000"/>
                <w:sz w:val="16"/>
              </w:rPr>
              <w:t>Bounded to the named families, seeds, targets, noise, schedules, grid, and implementation.</w:t>
            </w:r>
          </w:p>
        </w:tc>
      </w:tr>
    </w:tbl>
    <w:p>
      <w:pPr>
        <w:spacing w:after="0"/>
      </w:pPr>
    </w:p>
    <w:p>
      <w:pPr>
        <w:pStyle w:val="Heading1"/>
      </w:pPr>
      <w:r>
        <w:rPr>
          <w:rFonts w:ascii="Times New Roman" w:hAnsi="Times New Roman" w:eastAsia="Times New Roman" w:cs="Times New Roman"/>
          <w:color w:val="000000"/>
          <w:sz w:val="24"/>
        </w:rPr>
        <w:t>2. Materials and methods</w:t>
      </w:r>
    </w:p>
    <w:p>
      <w:pPr>
        <w:pStyle w:val="Heading2"/>
      </w:pPr>
      <w:r>
        <w:rPr>
          <w:rFonts w:ascii="Times New Roman" w:hAnsi="Times New Roman" w:eastAsia="Times New Roman" w:cs="Times New Roman"/>
          <w:color w:val="000000"/>
          <w:sz w:val="24"/>
        </w:rPr>
        <w:t>2.1 Study design</w:t>
      </w:r>
    </w:p>
    <w:p>
      <w:r>
        <w:rPr>
          <w:rFonts w:ascii="Times New Roman" w:hAnsi="Times New Roman" w:eastAsia="Times New Roman" w:cs="Times New Roman"/>
          <w:color w:val="000000"/>
          <w:sz w:val="24"/>
        </w:rPr>
        <w:t xml:space="preserve">Synthetic programs used six normalized factors, 48 wells, relative noise </w:t>
      </w:r>
      <w:r>
        <w:rPr>
          <w:rFonts w:ascii="Times New Roman" w:hAnsi="Times New Roman" w:eastAsia="Times New Roman" w:cs="Times New Roman"/>
          <w:color w:val="000000"/>
          <w:sz w:val="24"/>
        </w:rPr>
        <w:t>sigma_rel=0.25</w:t>
      </w:r>
      <w:r>
        <w:rPr>
          <w:rFonts w:ascii="Times New Roman" w:hAnsi="Times New Roman" w:eastAsia="Times New Roman" w:cs="Times New Roman"/>
          <w:color w:val="000000"/>
          <w:sz w:val="24"/>
        </w:rPr>
        <w:t xml:space="preserve">, a 20,000-point truth grid, a 2,000-point scoring subset, 4,096 joint posterior draws, and reported assurance </w:t>
      </w:r>
      <w:r>
        <w:rPr>
          <w:rFonts w:ascii="Times New Roman" w:hAnsi="Times New Roman" w:eastAsia="Times New Roman" w:cs="Times New Roman"/>
          <w:color w:val="000000"/>
          <w:sz w:val="24"/>
        </w:rPr>
        <w:t>alpha=0.95</w:t>
      </w:r>
      <w:r>
        <w:rPr>
          <w:rFonts w:ascii="Times New Roman" w:hAnsi="Times New Roman" w:eastAsia="Times New Roman" w:cs="Times New Roman"/>
          <w:color w:val="000000"/>
          <w:sz w:val="24"/>
        </w:rPr>
        <w:t>. Families were Ackley, Hartmann6, biphasic Hill, Levy, and Rosenbrock. Hill varied by registered instance; the others used fixed landscapes with design/noise varying by seed. These are structural test functions, not fits to endothelial-cell measurements.</w:t>
      </w:r>
    </w:p>
    <w:p>
      <w:r>
        <w:rPr>
          <w:rFonts w:ascii="Times New Roman" w:hAnsi="Times New Roman" w:eastAsia="Times New Roman" w:cs="Times New Roman"/>
          <w:color w:val="000000"/>
          <w:sz w:val="24"/>
        </w:rPr>
        <w:t xml:space="preserve">Table 2 gives exact arms, wells, rounds, seeds, prevalences, and evidence status. A round is a sequential decision opportunity, not extra wells: all synthetic arms used 48 wells. SPADE R3 used </w:t>
      </w:r>
      <w:r>
        <w:rPr>
          <w:rFonts w:ascii="Times New Roman" w:hAnsi="Times New Roman" w:eastAsia="Times New Roman" w:cs="Times New Roman"/>
          <w:color w:val="000000"/>
          <w:sz w:val="24"/>
        </w:rPr>
        <w:t>32+8+8</w:t>
      </w:r>
      <w:r>
        <w:rPr>
          <w:rFonts w:ascii="Times New Roman" w:hAnsi="Times New Roman" w:eastAsia="Times New Roman" w:cs="Times New Roman"/>
          <w:color w:val="000000"/>
          <w:sz w:val="24"/>
        </w:rPr>
        <w:t xml:space="preserve">, SPADE R5 used </w:t>
      </w:r>
      <w:r>
        <w:rPr>
          <w:rFonts w:ascii="Times New Roman" w:hAnsi="Times New Roman" w:eastAsia="Times New Roman" w:cs="Times New Roman"/>
          <w:color w:val="000000"/>
          <w:sz w:val="24"/>
        </w:rPr>
        <w:t>16+8+8+8+8</w:t>
      </w:r>
      <w:r>
        <w:rPr>
          <w:rFonts w:ascii="Times New Roman" w:hAnsi="Times New Roman" w:eastAsia="Times New Roman" w:cs="Times New Roman"/>
          <w:color w:val="000000"/>
          <w:sz w:val="24"/>
        </w:rPr>
        <w:t>, and qLogNEI R10 used its registered 14-point opening followed by batches totaling 48 wells. Fewer rounds therefore do not imply fewer wells.</w:t>
      </w:r>
    </w:p>
    <w:p>
      <w:pPr>
        <w:keepNext/>
        <w:spacing w:before="160" w:after="80" w:line="240" w:lineRule="auto"/>
      </w:pPr>
      <w:r>
        <w:rPr>
          <w:rFonts w:ascii="Times New Roman" w:hAnsi="Times New Roman" w:eastAsia="Times New Roman" w:cs="Times New Roman"/>
          <w:b/>
          <w:color w:val="000000"/>
          <w:sz w:val="20"/>
        </w:rPr>
        <w:t>Table 2. Study and benchmark overview.</w:t>
      </w:r>
    </w:p>
    <w:tbl>
      <w:tblPr>
        <w:tblW w:type="auto" w:w="0"/>
        <w:jc w:val="center"/>
        <w:tblLayout w:type="fixed"/>
        <w:tblLook w:firstColumn="1" w:firstRow="1" w:lastColumn="0" w:lastRow="0" w:noHBand="0" w:noVBand="1" w:val="04A0"/>
      </w:tblPr>
      <w:tblGrid>
        <w:gridCol w:w="850"/>
        <w:gridCol w:w="2250"/>
        <w:gridCol w:w="1000"/>
        <w:gridCol w:w="1550"/>
        <w:gridCol w:w="1200"/>
        <w:gridCol w:w="2510"/>
      </w:tblGrid>
      <w:tr>
        <w:trPr>
          <w:cantSplit/>
          <w:tblHeader w:val="true"/>
        </w:trPr>
        <w:tc>
          <w:tcPr>
            <w:tcW w:type="dxa" w:w="850"/>
            <w:vAlign w:val="center"/>
            <w:tcMar>
              <w:top w:w="60" w:type="dxa"/>
              <w:start w:w="45" w:type="dxa"/>
              <w:bottom w:w="60" w:type="dxa"/>
              <w:end w:w="45" w:type="dxa"/>
            </w:tcMar>
            <w:tcBorders>
              <w:top w:val="single" w:sz="4" w:space="0" w:color="B7B7B7"/>
              <w:start w:val="single" w:sz="4" w:space="0" w:color="B7B7B7"/>
              <w:bottom w:val="single" w:sz="4" w:space="0" w:color="B7B7B7"/>
              <w:end w:val="single" w:sz="4" w:space="0" w:color="B7B7B7"/>
              <w:insideH w:val="single" w:sz="4" w:space="0" w:color="B7B7B7"/>
              <w:insideV w:val="single" w:sz="4" w:space="0" w:color="B7B7B7"/>
            </w:tcBorders>
            <w:shd w:fill="D9EAF7"/>
          </w:tcPr>
          <w:p>
            <w:pPr>
              <w:keepLines/>
              <w:spacing w:before="0" w:after="0" w:line="240" w:lineRule="auto"/>
            </w:pPr>
            <w:r>
              <w:rPr>
                <w:rFonts w:ascii="Times New Roman" w:hAnsi="Times New Roman" w:eastAsia="Times New Roman" w:cs="Times New Roman"/>
                <w:b/>
                <w:color w:val="000000"/>
                <w:sz w:val="14"/>
              </w:rPr>
              <w:t>Program</w:t>
            </w:r>
          </w:p>
        </w:tc>
        <w:tc>
          <w:tcPr>
            <w:tcW w:type="dxa" w:w="2250"/>
            <w:vAlign w:val="center"/>
            <w:tcMar>
              <w:top w:w="60" w:type="dxa"/>
              <w:start w:w="45" w:type="dxa"/>
              <w:bottom w:w="60" w:type="dxa"/>
              <w:end w:w="45" w:type="dxa"/>
            </w:tcMar>
            <w:tcBorders>
              <w:top w:val="single" w:sz="4" w:space="0" w:color="B7B7B7"/>
              <w:start w:val="single" w:sz="4" w:space="0" w:color="B7B7B7"/>
              <w:bottom w:val="single" w:sz="4" w:space="0" w:color="B7B7B7"/>
              <w:end w:val="single" w:sz="4" w:space="0" w:color="B7B7B7"/>
              <w:insideH w:val="single" w:sz="4" w:space="0" w:color="B7B7B7"/>
              <w:insideV w:val="single" w:sz="4" w:space="0" w:color="B7B7B7"/>
            </w:tcBorders>
            <w:shd w:fill="D9EAF7"/>
          </w:tcPr>
          <w:p>
            <w:pPr>
              <w:keepLines/>
              <w:spacing w:before="0" w:after="0" w:line="240" w:lineRule="auto"/>
            </w:pPr>
            <w:r>
              <w:rPr>
                <w:rFonts w:ascii="Times New Roman" w:hAnsi="Times New Roman" w:eastAsia="Times New Roman" w:cs="Times New Roman"/>
                <w:b/>
                <w:color w:val="000000"/>
                <w:sz w:val="14"/>
              </w:rPr>
              <w:t>Arms and operational rounds used here</w:t>
            </w:r>
          </w:p>
        </w:tc>
        <w:tc>
          <w:tcPr>
            <w:tcW w:type="dxa" w:w="1000"/>
            <w:vAlign w:val="center"/>
            <w:tcMar>
              <w:top w:w="60" w:type="dxa"/>
              <w:start w:w="45" w:type="dxa"/>
              <w:bottom w:w="60" w:type="dxa"/>
              <w:end w:w="45" w:type="dxa"/>
            </w:tcMar>
            <w:tcBorders>
              <w:top w:val="single" w:sz="4" w:space="0" w:color="B7B7B7"/>
              <w:start w:val="single" w:sz="4" w:space="0" w:color="B7B7B7"/>
              <w:bottom w:val="single" w:sz="4" w:space="0" w:color="B7B7B7"/>
              <w:end w:val="single" w:sz="4" w:space="0" w:color="B7B7B7"/>
              <w:insideH w:val="single" w:sz="4" w:space="0" w:color="B7B7B7"/>
              <w:insideV w:val="single" w:sz="4" w:space="0" w:color="B7B7B7"/>
            </w:tcBorders>
            <w:shd w:fill="D9EAF7"/>
          </w:tcPr>
          <w:p>
            <w:pPr>
              <w:keepLines/>
              <w:spacing w:before="0" w:after="0" w:line="240" w:lineRule="auto"/>
            </w:pPr>
            <w:r>
              <w:rPr>
                <w:rFonts w:ascii="Times New Roman" w:hAnsi="Times New Roman" w:eastAsia="Times New Roman" w:cs="Times New Roman"/>
                <w:b/>
                <w:color w:val="000000"/>
                <w:sz w:val="14"/>
              </w:rPr>
              <w:t>Wells</w:t>
            </w:r>
          </w:p>
        </w:tc>
        <w:tc>
          <w:tcPr>
            <w:tcW w:type="dxa" w:w="1550"/>
            <w:vAlign w:val="center"/>
            <w:tcMar>
              <w:top w:w="60" w:type="dxa"/>
              <w:start w:w="45" w:type="dxa"/>
              <w:bottom w:w="60" w:type="dxa"/>
              <w:end w:w="45" w:type="dxa"/>
            </w:tcMar>
            <w:tcBorders>
              <w:top w:val="single" w:sz="4" w:space="0" w:color="B7B7B7"/>
              <w:start w:val="single" w:sz="4" w:space="0" w:color="B7B7B7"/>
              <w:bottom w:val="single" w:sz="4" w:space="0" w:color="B7B7B7"/>
              <w:end w:val="single" w:sz="4" w:space="0" w:color="B7B7B7"/>
              <w:insideH w:val="single" w:sz="4" w:space="0" w:color="B7B7B7"/>
              <w:insideV w:val="single" w:sz="4" w:space="0" w:color="B7B7B7"/>
            </w:tcBorders>
            <w:shd w:fill="D9EAF7"/>
          </w:tcPr>
          <w:p>
            <w:pPr>
              <w:keepLines/>
              <w:spacing w:before="0" w:after="0" w:line="240" w:lineRule="auto"/>
            </w:pPr>
            <w:r>
              <w:rPr>
                <w:rFonts w:ascii="Times New Roman" w:hAnsi="Times New Roman" w:eastAsia="Times New Roman" w:cs="Times New Roman"/>
                <w:b/>
                <w:color w:val="000000"/>
                <w:sz w:val="14"/>
              </w:rPr>
              <w:t>Families and seeds</w:t>
            </w:r>
          </w:p>
        </w:tc>
        <w:tc>
          <w:tcPr>
            <w:tcW w:type="dxa" w:w="1200"/>
            <w:vAlign w:val="center"/>
            <w:tcMar>
              <w:top w:w="60" w:type="dxa"/>
              <w:start w:w="45" w:type="dxa"/>
              <w:bottom w:w="60" w:type="dxa"/>
              <w:end w:w="45" w:type="dxa"/>
            </w:tcMar>
            <w:tcBorders>
              <w:top w:val="single" w:sz="4" w:space="0" w:color="B7B7B7"/>
              <w:start w:val="single" w:sz="4" w:space="0" w:color="B7B7B7"/>
              <w:bottom w:val="single" w:sz="4" w:space="0" w:color="B7B7B7"/>
              <w:end w:val="single" w:sz="4" w:space="0" w:color="B7B7B7"/>
              <w:insideH w:val="single" w:sz="4" w:space="0" w:color="B7B7B7"/>
              <w:insideV w:val="single" w:sz="4" w:space="0" w:color="B7B7B7"/>
            </w:tcBorders>
            <w:shd w:fill="D9EAF7"/>
          </w:tcPr>
          <w:p>
            <w:pPr>
              <w:keepLines/>
              <w:spacing w:before="0" w:after="0" w:line="240" w:lineRule="auto"/>
            </w:pPr>
            <w:r>
              <w:rPr>
                <w:rFonts w:ascii="Times New Roman" w:hAnsi="Times New Roman" w:eastAsia="Times New Roman" w:cs="Times New Roman"/>
                <w:b/>
                <w:color w:val="000000"/>
                <w:sz w:val="14"/>
              </w:rPr>
              <w:t>Target prevalences</w:t>
            </w:r>
          </w:p>
        </w:tc>
        <w:tc>
          <w:tcPr>
            <w:tcW w:type="dxa" w:w="2510"/>
            <w:vAlign w:val="center"/>
            <w:tcMar>
              <w:top w:w="60" w:type="dxa"/>
              <w:start w:w="45" w:type="dxa"/>
              <w:bottom w:w="60" w:type="dxa"/>
              <w:end w:w="45" w:type="dxa"/>
            </w:tcMar>
            <w:tcBorders>
              <w:top w:val="single" w:sz="4" w:space="0" w:color="B7B7B7"/>
              <w:start w:val="single" w:sz="4" w:space="0" w:color="B7B7B7"/>
              <w:bottom w:val="single" w:sz="4" w:space="0" w:color="B7B7B7"/>
              <w:end w:val="single" w:sz="4" w:space="0" w:color="B7B7B7"/>
              <w:insideH w:val="single" w:sz="4" w:space="0" w:color="B7B7B7"/>
              <w:insideV w:val="single" w:sz="4" w:space="0" w:color="B7B7B7"/>
            </w:tcBorders>
            <w:shd w:fill="D9EAF7"/>
          </w:tcPr>
          <w:p>
            <w:pPr>
              <w:keepLines/>
              <w:spacing w:before="0" w:after="0" w:line="240" w:lineRule="auto"/>
            </w:pPr>
            <w:r>
              <w:rPr>
                <w:rFonts w:ascii="Times New Roman" w:hAnsi="Times New Roman" w:eastAsia="Times New Roman" w:cs="Times New Roman"/>
                <w:b/>
                <w:color w:val="000000"/>
                <w:sz w:val="14"/>
              </w:rPr>
              <w:t>Status and role</w:t>
            </w:r>
          </w:p>
        </w:tc>
      </w:tr>
      <w:tr>
        <w:trPr>
          <w:cantSplit/>
        </w:trPr>
        <w:tc>
          <w:tcPr>
            <w:tcW w:type="dxa" w:w="850"/>
            <w:vAlign w:val="center"/>
            <w:tcMar>
              <w:top w:w="60" w:type="dxa"/>
              <w:start w:w="45" w:type="dxa"/>
              <w:bottom w:w="60" w:type="dxa"/>
              <w:end w:w="45" w:type="dxa"/>
            </w:tcMar>
            <w:tcBorders>
              <w:top w:val="single" w:sz="4" w:space="0" w:color="B7B7B7"/>
              <w:start w:val="single" w:sz="4" w:space="0" w:color="B7B7B7"/>
              <w:bottom w:val="single" w:sz="4" w:space="0" w:color="B7B7B7"/>
              <w:end w:val="single" w:sz="4" w:space="0" w:color="B7B7B7"/>
              <w:insideH w:val="single" w:sz="4" w:space="0" w:color="B7B7B7"/>
              <w:insideV w:val="single" w:sz="4" w:space="0" w:color="B7B7B7"/>
            </w:tcBorders>
          </w:tcPr>
          <w:p>
            <w:pPr>
              <w:keepLines/>
              <w:spacing w:before="0" w:after="0" w:line="240" w:lineRule="auto"/>
            </w:pPr>
            <w:r>
              <w:rPr>
                <w:rFonts w:ascii="Times New Roman" w:hAnsi="Times New Roman" w:eastAsia="Times New Roman" w:cs="Times New Roman"/>
                <w:color w:val="000000"/>
                <w:sz w:val="14"/>
              </w:rPr>
              <w:t>DC</w:t>
            </w:r>
          </w:p>
        </w:tc>
        <w:tc>
          <w:tcPr>
            <w:tcW w:type="dxa" w:w="2250"/>
            <w:vAlign w:val="center"/>
            <w:tcMar>
              <w:top w:w="60" w:type="dxa"/>
              <w:start w:w="45" w:type="dxa"/>
              <w:bottom w:w="60" w:type="dxa"/>
              <w:end w:w="45" w:type="dxa"/>
            </w:tcMar>
            <w:tcBorders>
              <w:top w:val="single" w:sz="4" w:space="0" w:color="B7B7B7"/>
              <w:start w:val="single" w:sz="4" w:space="0" w:color="B7B7B7"/>
              <w:bottom w:val="single" w:sz="4" w:space="0" w:color="B7B7B7"/>
              <w:end w:val="single" w:sz="4" w:space="0" w:color="B7B7B7"/>
              <w:insideH w:val="single" w:sz="4" w:space="0" w:color="B7B7B7"/>
              <w:insideV w:val="single" w:sz="4" w:space="0" w:color="B7B7B7"/>
            </w:tcBorders>
          </w:tcPr>
          <w:p>
            <w:pPr>
              <w:keepLines/>
              <w:spacing w:before="0" w:after="0" w:line="240" w:lineRule="auto"/>
            </w:pPr>
            <w:r>
              <w:rPr>
                <w:rFonts w:ascii="Times New Roman" w:hAnsi="Times New Roman" w:eastAsia="Times New Roman" w:cs="Times New Roman"/>
                <w:color w:val="000000"/>
                <w:sz w:val="14"/>
              </w:rPr>
              <w:t>Screened DoE R3; unscreened DoE R3; SPADE R5; qLogNEI R10</w:t>
            </w:r>
          </w:p>
        </w:tc>
        <w:tc>
          <w:tcPr>
            <w:tcW w:type="dxa" w:w="1000"/>
            <w:vAlign w:val="center"/>
            <w:tcMar>
              <w:top w:w="60" w:type="dxa"/>
              <w:start w:w="45" w:type="dxa"/>
              <w:bottom w:w="60" w:type="dxa"/>
              <w:end w:w="45" w:type="dxa"/>
            </w:tcMar>
            <w:tcBorders>
              <w:top w:val="single" w:sz="4" w:space="0" w:color="B7B7B7"/>
              <w:start w:val="single" w:sz="4" w:space="0" w:color="B7B7B7"/>
              <w:bottom w:val="single" w:sz="4" w:space="0" w:color="B7B7B7"/>
              <w:end w:val="single" w:sz="4" w:space="0" w:color="B7B7B7"/>
              <w:insideH w:val="single" w:sz="4" w:space="0" w:color="B7B7B7"/>
              <w:insideV w:val="single" w:sz="4" w:space="0" w:color="B7B7B7"/>
            </w:tcBorders>
          </w:tcPr>
          <w:p>
            <w:pPr>
              <w:keepLines/>
              <w:spacing w:before="0" w:after="0" w:line="240" w:lineRule="auto"/>
            </w:pPr>
            <w:r>
              <w:rPr>
                <w:rFonts w:ascii="Times New Roman" w:hAnsi="Times New Roman" w:eastAsia="Times New Roman" w:cs="Times New Roman"/>
                <w:color w:val="000000"/>
                <w:sz w:val="14"/>
              </w:rPr>
              <w:t>48</w:t>
            </w:r>
          </w:p>
        </w:tc>
        <w:tc>
          <w:tcPr>
            <w:tcW w:type="dxa" w:w="1550"/>
            <w:vAlign w:val="center"/>
            <w:tcMar>
              <w:top w:w="60" w:type="dxa"/>
              <w:start w:w="45" w:type="dxa"/>
              <w:bottom w:w="60" w:type="dxa"/>
              <w:end w:w="45" w:type="dxa"/>
            </w:tcMar>
            <w:tcBorders>
              <w:top w:val="single" w:sz="4" w:space="0" w:color="B7B7B7"/>
              <w:start w:val="single" w:sz="4" w:space="0" w:color="B7B7B7"/>
              <w:bottom w:val="single" w:sz="4" w:space="0" w:color="B7B7B7"/>
              <w:end w:val="single" w:sz="4" w:space="0" w:color="B7B7B7"/>
              <w:insideH w:val="single" w:sz="4" w:space="0" w:color="B7B7B7"/>
              <w:insideV w:val="single" w:sz="4" w:space="0" w:color="B7B7B7"/>
            </w:tcBorders>
          </w:tcPr>
          <w:p>
            <w:pPr>
              <w:keepLines/>
              <w:spacing w:before="0" w:after="0" w:line="240" w:lineRule="auto"/>
            </w:pPr>
            <w:r>
              <w:rPr>
                <w:rFonts w:ascii="Times New Roman" w:hAnsi="Times New Roman" w:eastAsia="Times New Roman" w:cs="Times New Roman"/>
                <w:color w:val="000000"/>
                <w:sz w:val="14"/>
              </w:rPr>
              <w:t>Five families x 32 seeds</w:t>
            </w:r>
          </w:p>
        </w:tc>
        <w:tc>
          <w:tcPr>
            <w:tcW w:type="dxa" w:w="1200"/>
            <w:vAlign w:val="center"/>
            <w:tcMar>
              <w:top w:w="60" w:type="dxa"/>
              <w:start w:w="45" w:type="dxa"/>
              <w:bottom w:w="60" w:type="dxa"/>
              <w:end w:w="45" w:type="dxa"/>
            </w:tcMar>
            <w:tcBorders>
              <w:top w:val="single" w:sz="4" w:space="0" w:color="B7B7B7"/>
              <w:start w:val="single" w:sz="4" w:space="0" w:color="B7B7B7"/>
              <w:bottom w:val="single" w:sz="4" w:space="0" w:color="B7B7B7"/>
              <w:end w:val="single" w:sz="4" w:space="0" w:color="B7B7B7"/>
              <w:insideH w:val="single" w:sz="4" w:space="0" w:color="B7B7B7"/>
              <w:insideV w:val="single" w:sz="4" w:space="0" w:color="B7B7B7"/>
            </w:tcBorders>
          </w:tcPr>
          <w:p>
            <w:pPr>
              <w:keepLines/>
              <w:spacing w:before="0" w:after="0" w:line="240" w:lineRule="auto"/>
            </w:pPr>
            <w:r>
              <w:rPr>
                <w:rFonts w:ascii="Times New Roman" w:hAnsi="Times New Roman" w:eastAsia="Times New Roman" w:cs="Times New Roman"/>
                <w:color w:val="000000"/>
                <w:sz w:val="14"/>
              </w:rPr>
              <w:t>0.70, 0.30</w:t>
            </w:r>
          </w:p>
        </w:tc>
        <w:tc>
          <w:tcPr>
            <w:tcW w:type="dxa" w:w="2510"/>
            <w:vAlign w:val="center"/>
            <w:tcMar>
              <w:top w:w="60" w:type="dxa"/>
              <w:start w:w="45" w:type="dxa"/>
              <w:bottom w:w="60" w:type="dxa"/>
              <w:end w:w="45" w:type="dxa"/>
            </w:tcMar>
            <w:tcBorders>
              <w:top w:val="single" w:sz="4" w:space="0" w:color="B7B7B7"/>
              <w:start w:val="single" w:sz="4" w:space="0" w:color="B7B7B7"/>
              <w:bottom w:val="single" w:sz="4" w:space="0" w:color="B7B7B7"/>
              <w:end w:val="single" w:sz="4" w:space="0" w:color="B7B7B7"/>
              <w:insideH w:val="single" w:sz="4" w:space="0" w:color="B7B7B7"/>
              <w:insideV w:val="single" w:sz="4" w:space="0" w:color="B7B7B7"/>
            </w:tcBorders>
          </w:tcPr>
          <w:p>
            <w:pPr>
              <w:keepLines/>
              <w:spacing w:before="0" w:after="0" w:line="240" w:lineRule="auto"/>
            </w:pPr>
            <w:r>
              <w:rPr>
                <w:rFonts w:ascii="Times New Roman" w:hAnsi="Times New Roman" w:eastAsia="Times New Roman" w:cs="Times New Roman"/>
                <w:color w:val="000000"/>
                <w:sz w:val="14"/>
              </w:rPr>
              <w:t>Complete active grid; confirmatory/core C1/C2; C1 supersedes the cross-run estimate.</w:t>
            </w:r>
          </w:p>
        </w:tc>
      </w:tr>
      <w:tr>
        <w:trPr>
          <w:cantSplit/>
        </w:trPr>
        <w:tc>
          <w:tcPr>
            <w:tcW w:type="dxa" w:w="850"/>
            <w:vAlign w:val="center"/>
            <w:tcMar>
              <w:top w:w="60" w:type="dxa"/>
              <w:start w:w="45" w:type="dxa"/>
              <w:bottom w:w="60" w:type="dxa"/>
              <w:end w:w="45" w:type="dxa"/>
            </w:tcMar>
            <w:tcBorders>
              <w:top w:val="single" w:sz="4" w:space="0" w:color="B7B7B7"/>
              <w:start w:val="single" w:sz="4" w:space="0" w:color="B7B7B7"/>
              <w:bottom w:val="single" w:sz="4" w:space="0" w:color="B7B7B7"/>
              <w:end w:val="single" w:sz="4" w:space="0" w:color="B7B7B7"/>
              <w:insideH w:val="single" w:sz="4" w:space="0" w:color="B7B7B7"/>
              <w:insideV w:val="single" w:sz="4" w:space="0" w:color="B7B7B7"/>
            </w:tcBorders>
          </w:tcPr>
          <w:p>
            <w:pPr>
              <w:keepLines/>
              <w:spacing w:before="0" w:after="0" w:line="240" w:lineRule="auto"/>
            </w:pPr>
            <w:r>
              <w:rPr>
                <w:rFonts w:ascii="Times New Roman" w:hAnsi="Times New Roman" w:eastAsia="Times New Roman" w:cs="Times New Roman"/>
                <w:color w:val="000000"/>
                <w:sz w:val="14"/>
              </w:rPr>
              <w:t>LC</w:t>
            </w:r>
          </w:p>
        </w:tc>
        <w:tc>
          <w:tcPr>
            <w:tcW w:type="dxa" w:w="2250"/>
            <w:vAlign w:val="center"/>
            <w:tcMar>
              <w:top w:w="60" w:type="dxa"/>
              <w:start w:w="45" w:type="dxa"/>
              <w:bottom w:w="60" w:type="dxa"/>
              <w:end w:w="45" w:type="dxa"/>
            </w:tcMar>
            <w:tcBorders>
              <w:top w:val="single" w:sz="4" w:space="0" w:color="B7B7B7"/>
              <w:start w:val="single" w:sz="4" w:space="0" w:color="B7B7B7"/>
              <w:bottom w:val="single" w:sz="4" w:space="0" w:color="B7B7B7"/>
              <w:end w:val="single" w:sz="4" w:space="0" w:color="B7B7B7"/>
              <w:insideH w:val="single" w:sz="4" w:space="0" w:color="B7B7B7"/>
              <w:insideV w:val="single" w:sz="4" w:space="0" w:color="B7B7B7"/>
            </w:tcBorders>
          </w:tcPr>
          <w:p>
            <w:pPr>
              <w:keepLines/>
              <w:spacing w:before="0" w:after="0" w:line="240" w:lineRule="auto"/>
            </w:pPr>
            <w:r>
              <w:rPr>
                <w:rFonts w:ascii="Times New Roman" w:hAnsi="Times New Roman" w:eastAsia="Times New Roman" w:cs="Times New Roman"/>
                <w:color w:val="000000"/>
                <w:sz w:val="14"/>
              </w:rPr>
              <w:t>SPADE R3/R5; qLogNEI R3/R5/R10</w:t>
            </w:r>
          </w:p>
        </w:tc>
        <w:tc>
          <w:tcPr>
            <w:tcW w:type="dxa" w:w="1000"/>
            <w:vAlign w:val="center"/>
            <w:tcMar>
              <w:top w:w="60" w:type="dxa"/>
              <w:start w:w="45" w:type="dxa"/>
              <w:bottom w:w="60" w:type="dxa"/>
              <w:end w:w="45" w:type="dxa"/>
            </w:tcMar>
            <w:tcBorders>
              <w:top w:val="single" w:sz="4" w:space="0" w:color="B7B7B7"/>
              <w:start w:val="single" w:sz="4" w:space="0" w:color="B7B7B7"/>
              <w:bottom w:val="single" w:sz="4" w:space="0" w:color="B7B7B7"/>
              <w:end w:val="single" w:sz="4" w:space="0" w:color="B7B7B7"/>
              <w:insideH w:val="single" w:sz="4" w:space="0" w:color="B7B7B7"/>
              <w:insideV w:val="single" w:sz="4" w:space="0" w:color="B7B7B7"/>
            </w:tcBorders>
          </w:tcPr>
          <w:p>
            <w:pPr>
              <w:keepLines/>
              <w:spacing w:before="0" w:after="0" w:line="240" w:lineRule="auto"/>
            </w:pPr>
            <w:r>
              <w:rPr>
                <w:rFonts w:ascii="Times New Roman" w:hAnsi="Times New Roman" w:eastAsia="Times New Roman" w:cs="Times New Roman"/>
                <w:color w:val="000000"/>
                <w:sz w:val="14"/>
              </w:rPr>
              <w:t>48</w:t>
            </w:r>
          </w:p>
        </w:tc>
        <w:tc>
          <w:tcPr>
            <w:tcW w:type="dxa" w:w="1550"/>
            <w:vAlign w:val="center"/>
            <w:tcMar>
              <w:top w:w="60" w:type="dxa"/>
              <w:start w:w="45" w:type="dxa"/>
              <w:bottom w:w="60" w:type="dxa"/>
              <w:end w:w="45" w:type="dxa"/>
            </w:tcMar>
            <w:tcBorders>
              <w:top w:val="single" w:sz="4" w:space="0" w:color="B7B7B7"/>
              <w:start w:val="single" w:sz="4" w:space="0" w:color="B7B7B7"/>
              <w:bottom w:val="single" w:sz="4" w:space="0" w:color="B7B7B7"/>
              <w:end w:val="single" w:sz="4" w:space="0" w:color="B7B7B7"/>
              <w:insideH w:val="single" w:sz="4" w:space="0" w:color="B7B7B7"/>
              <w:insideV w:val="single" w:sz="4" w:space="0" w:color="B7B7B7"/>
            </w:tcBorders>
          </w:tcPr>
          <w:p>
            <w:pPr>
              <w:keepLines/>
              <w:spacing w:before="0" w:after="0" w:line="240" w:lineRule="auto"/>
            </w:pPr>
            <w:r>
              <w:rPr>
                <w:rFonts w:ascii="Times New Roman" w:hAnsi="Times New Roman" w:eastAsia="Times New Roman" w:cs="Times New Roman"/>
                <w:color w:val="000000"/>
                <w:sz w:val="14"/>
              </w:rPr>
              <w:t>Five families x 32 seeds</w:t>
            </w:r>
          </w:p>
        </w:tc>
        <w:tc>
          <w:tcPr>
            <w:tcW w:type="dxa" w:w="1200"/>
            <w:vAlign w:val="center"/>
            <w:tcMar>
              <w:top w:w="60" w:type="dxa"/>
              <w:start w:w="45" w:type="dxa"/>
              <w:bottom w:w="60" w:type="dxa"/>
              <w:end w:w="45" w:type="dxa"/>
            </w:tcMar>
            <w:tcBorders>
              <w:top w:val="single" w:sz="4" w:space="0" w:color="B7B7B7"/>
              <w:start w:val="single" w:sz="4" w:space="0" w:color="B7B7B7"/>
              <w:bottom w:val="single" w:sz="4" w:space="0" w:color="B7B7B7"/>
              <w:end w:val="single" w:sz="4" w:space="0" w:color="B7B7B7"/>
              <w:insideH w:val="single" w:sz="4" w:space="0" w:color="B7B7B7"/>
              <w:insideV w:val="single" w:sz="4" w:space="0" w:color="B7B7B7"/>
            </w:tcBorders>
          </w:tcPr>
          <w:p>
            <w:pPr>
              <w:keepLines/>
              <w:spacing w:before="0" w:after="0" w:line="240" w:lineRule="auto"/>
            </w:pPr>
            <w:r>
              <w:rPr>
                <w:rFonts w:ascii="Times New Roman" w:hAnsi="Times New Roman" w:eastAsia="Times New Roman" w:cs="Times New Roman"/>
                <w:color w:val="000000"/>
                <w:sz w:val="14"/>
              </w:rPr>
              <w:t>0.30, 0.10</w:t>
            </w:r>
          </w:p>
        </w:tc>
        <w:tc>
          <w:tcPr>
            <w:tcW w:type="dxa" w:w="2510"/>
            <w:vAlign w:val="center"/>
            <w:tcMar>
              <w:top w:w="60" w:type="dxa"/>
              <w:start w:w="45" w:type="dxa"/>
              <w:bottom w:w="60" w:type="dxa"/>
              <w:end w:w="45" w:type="dxa"/>
            </w:tcMar>
            <w:tcBorders>
              <w:top w:val="single" w:sz="4" w:space="0" w:color="B7B7B7"/>
              <w:start w:val="single" w:sz="4" w:space="0" w:color="B7B7B7"/>
              <w:bottom w:val="single" w:sz="4" w:space="0" w:color="B7B7B7"/>
              <w:end w:val="single" w:sz="4" w:space="0" w:color="B7B7B7"/>
              <w:insideH w:val="single" w:sz="4" w:space="0" w:color="B7B7B7"/>
              <w:insideV w:val="single" w:sz="4" w:space="0" w:color="B7B7B7"/>
            </w:tcBorders>
          </w:tcPr>
          <w:p>
            <w:pPr>
              <w:keepLines/>
              <w:spacing w:before="0" w:after="0" w:line="240" w:lineRule="auto"/>
            </w:pPr>
            <w:r>
              <w:rPr>
                <w:rFonts w:ascii="Times New Roman" w:hAnsi="Times New Roman" w:eastAsia="Times New Roman" w:cs="Times New Roman"/>
                <w:color w:val="000000"/>
                <w:sz w:val="14"/>
              </w:rPr>
              <w:t>Complete active grid; confirmatory/core C3 and SPADE side of C4; LOFO inflation.</w:t>
            </w:r>
          </w:p>
        </w:tc>
      </w:tr>
      <w:tr>
        <w:trPr>
          <w:cantSplit/>
        </w:trPr>
        <w:tc>
          <w:tcPr>
            <w:tcW w:type="dxa" w:w="850"/>
            <w:vAlign w:val="center"/>
            <w:tcMar>
              <w:top w:w="60" w:type="dxa"/>
              <w:start w:w="45" w:type="dxa"/>
              <w:bottom w:w="60" w:type="dxa"/>
              <w:end w:w="45" w:type="dxa"/>
            </w:tcMar>
            <w:tcBorders>
              <w:top w:val="single" w:sz="4" w:space="0" w:color="B7B7B7"/>
              <w:start w:val="single" w:sz="4" w:space="0" w:color="B7B7B7"/>
              <w:bottom w:val="single" w:sz="4" w:space="0" w:color="B7B7B7"/>
              <w:end w:val="single" w:sz="4" w:space="0" w:color="B7B7B7"/>
              <w:insideH w:val="single" w:sz="4" w:space="0" w:color="B7B7B7"/>
              <w:insideV w:val="single" w:sz="4" w:space="0" w:color="B7B7B7"/>
            </w:tcBorders>
          </w:tcPr>
          <w:p>
            <w:pPr>
              <w:keepLines/>
              <w:spacing w:before="0" w:after="0" w:line="240" w:lineRule="auto"/>
            </w:pPr>
            <w:r>
              <w:rPr>
                <w:rFonts w:ascii="Times New Roman" w:hAnsi="Times New Roman" w:eastAsia="Times New Roman" w:cs="Times New Roman"/>
                <w:color w:val="000000"/>
                <w:sz w:val="14"/>
              </w:rPr>
              <w:t>LA/C4</w:t>
            </w:r>
          </w:p>
        </w:tc>
        <w:tc>
          <w:tcPr>
            <w:tcW w:type="dxa" w:w="2250"/>
            <w:vAlign w:val="center"/>
            <w:tcMar>
              <w:top w:w="60" w:type="dxa"/>
              <w:start w:w="45" w:type="dxa"/>
              <w:bottom w:w="60" w:type="dxa"/>
              <w:end w:w="45" w:type="dxa"/>
            </w:tcMar>
            <w:tcBorders>
              <w:top w:val="single" w:sz="4" w:space="0" w:color="B7B7B7"/>
              <w:start w:val="single" w:sz="4" w:space="0" w:color="B7B7B7"/>
              <w:bottom w:val="single" w:sz="4" w:space="0" w:color="B7B7B7"/>
              <w:end w:val="single" w:sz="4" w:space="0" w:color="B7B7B7"/>
              <w:insideH w:val="single" w:sz="4" w:space="0" w:color="B7B7B7"/>
              <w:insideV w:val="single" w:sz="4" w:space="0" w:color="B7B7B7"/>
            </w:tcBorders>
          </w:tcPr>
          <w:p>
            <w:pPr>
              <w:keepLines/>
              <w:spacing w:before="0" w:after="0" w:line="240" w:lineRule="auto"/>
            </w:pPr>
            <w:r>
              <w:rPr>
                <w:rFonts w:ascii="Times New Roman" w:hAnsi="Times New Roman" w:eastAsia="Times New Roman" w:cs="Times New Roman"/>
                <w:color w:val="000000"/>
                <w:sz w:val="14"/>
              </w:rPr>
              <w:t>One-shot LHS R1 paired with LC SPADE R3</w:t>
            </w:r>
          </w:p>
        </w:tc>
        <w:tc>
          <w:tcPr>
            <w:tcW w:type="dxa" w:w="1000"/>
            <w:vAlign w:val="center"/>
            <w:tcMar>
              <w:top w:w="60" w:type="dxa"/>
              <w:start w:w="45" w:type="dxa"/>
              <w:bottom w:w="60" w:type="dxa"/>
              <w:end w:w="45" w:type="dxa"/>
            </w:tcMar>
            <w:tcBorders>
              <w:top w:val="single" w:sz="4" w:space="0" w:color="B7B7B7"/>
              <w:start w:val="single" w:sz="4" w:space="0" w:color="B7B7B7"/>
              <w:bottom w:val="single" w:sz="4" w:space="0" w:color="B7B7B7"/>
              <w:end w:val="single" w:sz="4" w:space="0" w:color="B7B7B7"/>
              <w:insideH w:val="single" w:sz="4" w:space="0" w:color="B7B7B7"/>
              <w:insideV w:val="single" w:sz="4" w:space="0" w:color="B7B7B7"/>
            </w:tcBorders>
          </w:tcPr>
          <w:p>
            <w:pPr>
              <w:keepLines/>
              <w:spacing w:before="0" w:after="0" w:line="240" w:lineRule="auto"/>
            </w:pPr>
            <w:r>
              <w:rPr>
                <w:rFonts w:ascii="Times New Roman" w:hAnsi="Times New Roman" w:eastAsia="Times New Roman" w:cs="Times New Roman"/>
                <w:color w:val="000000"/>
                <w:sz w:val="14"/>
              </w:rPr>
              <w:t>48</w:t>
            </w:r>
          </w:p>
        </w:tc>
        <w:tc>
          <w:tcPr>
            <w:tcW w:type="dxa" w:w="1550"/>
            <w:vAlign w:val="center"/>
            <w:tcMar>
              <w:top w:w="60" w:type="dxa"/>
              <w:start w:w="45" w:type="dxa"/>
              <w:bottom w:w="60" w:type="dxa"/>
              <w:end w:w="45" w:type="dxa"/>
            </w:tcMar>
            <w:tcBorders>
              <w:top w:val="single" w:sz="4" w:space="0" w:color="B7B7B7"/>
              <w:start w:val="single" w:sz="4" w:space="0" w:color="B7B7B7"/>
              <w:bottom w:val="single" w:sz="4" w:space="0" w:color="B7B7B7"/>
              <w:end w:val="single" w:sz="4" w:space="0" w:color="B7B7B7"/>
              <w:insideH w:val="single" w:sz="4" w:space="0" w:color="B7B7B7"/>
              <w:insideV w:val="single" w:sz="4" w:space="0" w:color="B7B7B7"/>
            </w:tcBorders>
          </w:tcPr>
          <w:p>
            <w:pPr>
              <w:keepLines/>
              <w:spacing w:before="0" w:after="0" w:line="240" w:lineRule="auto"/>
            </w:pPr>
            <w:r>
              <w:rPr>
                <w:rFonts w:ascii="Times New Roman" w:hAnsi="Times New Roman" w:eastAsia="Times New Roman" w:cs="Times New Roman"/>
                <w:color w:val="000000"/>
                <w:sz w:val="14"/>
              </w:rPr>
              <w:t>Four common families x 20 common seeds</w:t>
            </w:r>
          </w:p>
        </w:tc>
        <w:tc>
          <w:tcPr>
            <w:tcW w:type="dxa" w:w="1200"/>
            <w:vAlign w:val="center"/>
            <w:tcMar>
              <w:top w:w="60" w:type="dxa"/>
              <w:start w:w="45" w:type="dxa"/>
              <w:bottom w:w="60" w:type="dxa"/>
              <w:end w:w="45" w:type="dxa"/>
            </w:tcMar>
            <w:tcBorders>
              <w:top w:val="single" w:sz="4" w:space="0" w:color="B7B7B7"/>
              <w:start w:val="single" w:sz="4" w:space="0" w:color="B7B7B7"/>
              <w:bottom w:val="single" w:sz="4" w:space="0" w:color="B7B7B7"/>
              <w:end w:val="single" w:sz="4" w:space="0" w:color="B7B7B7"/>
              <w:insideH w:val="single" w:sz="4" w:space="0" w:color="B7B7B7"/>
              <w:insideV w:val="single" w:sz="4" w:space="0" w:color="B7B7B7"/>
            </w:tcBorders>
          </w:tcPr>
          <w:p>
            <w:pPr>
              <w:keepLines/>
              <w:spacing w:before="0" w:after="0" w:line="240" w:lineRule="auto"/>
            </w:pPr>
            <w:r>
              <w:rPr>
                <w:rFonts w:ascii="Times New Roman" w:hAnsi="Times New Roman" w:eastAsia="Times New Roman" w:cs="Times New Roman"/>
                <w:color w:val="000000"/>
                <w:sz w:val="14"/>
              </w:rPr>
              <w:t>Regret paired by family and seed</w:t>
            </w:r>
          </w:p>
        </w:tc>
        <w:tc>
          <w:tcPr>
            <w:tcW w:type="dxa" w:w="2510"/>
            <w:vAlign w:val="center"/>
            <w:tcMar>
              <w:top w:w="60" w:type="dxa"/>
              <w:start w:w="45" w:type="dxa"/>
              <w:bottom w:w="60" w:type="dxa"/>
              <w:end w:w="45" w:type="dxa"/>
            </w:tcMar>
            <w:tcBorders>
              <w:top w:val="single" w:sz="4" w:space="0" w:color="B7B7B7"/>
              <w:start w:val="single" w:sz="4" w:space="0" w:color="B7B7B7"/>
              <w:bottom w:val="single" w:sz="4" w:space="0" w:color="B7B7B7"/>
              <w:end w:val="single" w:sz="4" w:space="0" w:color="B7B7B7"/>
              <w:insideH w:val="single" w:sz="4" w:space="0" w:color="B7B7B7"/>
              <w:insideV w:val="single" w:sz="4" w:space="0" w:color="B7B7B7"/>
            </w:tcBorders>
          </w:tcPr>
          <w:p>
            <w:pPr>
              <w:keepLines/>
              <w:spacing w:before="0" w:after="0" w:line="240" w:lineRule="auto"/>
            </w:pPr>
            <w:r>
              <w:rPr>
                <w:rFonts w:ascii="Times New Roman" w:hAnsi="Times New Roman" w:eastAsia="Times New Roman" w:cs="Times New Roman"/>
                <w:color w:val="000000"/>
                <w:sz w:val="14"/>
              </w:rPr>
              <w:t xml:space="preserve">Complete active grid; frozen development lineage used as core C4 support; exactly </w:t>
            </w:r>
            <w:r>
              <w:rPr>
                <w:rFonts w:ascii="Times New Roman" w:hAnsi="Times New Roman" w:eastAsia="Times New Roman" w:cs="Times New Roman"/>
                <w:color w:val="000000"/>
                <w:sz w:val="14"/>
              </w:rPr>
              <w:t>4 x 20=80</w:t>
            </w:r>
            <w:r>
              <w:rPr>
                <w:rFonts w:ascii="Times New Roman" w:hAnsi="Times New Roman" w:eastAsia="Times New Roman" w:cs="Times New Roman"/>
                <w:color w:val="000000"/>
                <w:sz w:val="14"/>
              </w:rPr>
              <w:t xml:space="preserve"> pairs; unmatched Hill and seeds 20--31 excluded, not imputed.</w:t>
            </w:r>
          </w:p>
        </w:tc>
      </w:tr>
      <w:tr>
        <w:trPr>
          <w:cantSplit/>
        </w:trPr>
        <w:tc>
          <w:tcPr>
            <w:tcW w:type="dxa" w:w="850"/>
            <w:vAlign w:val="center"/>
            <w:tcMar>
              <w:top w:w="60" w:type="dxa"/>
              <w:start w:w="45" w:type="dxa"/>
              <w:bottom w:w="60" w:type="dxa"/>
              <w:end w:w="45" w:type="dxa"/>
            </w:tcMar>
            <w:tcBorders>
              <w:top w:val="single" w:sz="4" w:space="0" w:color="B7B7B7"/>
              <w:start w:val="single" w:sz="4" w:space="0" w:color="B7B7B7"/>
              <w:bottom w:val="single" w:sz="4" w:space="0" w:color="B7B7B7"/>
              <w:end w:val="single" w:sz="4" w:space="0" w:color="B7B7B7"/>
              <w:insideH w:val="single" w:sz="4" w:space="0" w:color="B7B7B7"/>
              <w:insideV w:val="single" w:sz="4" w:space="0" w:color="B7B7B7"/>
            </w:tcBorders>
          </w:tcPr>
          <w:p>
            <w:pPr>
              <w:keepLines/>
              <w:spacing w:before="0" w:after="0" w:line="240" w:lineRule="auto"/>
            </w:pPr>
            <w:r>
              <w:rPr>
                <w:rFonts w:ascii="Times New Roman" w:hAnsi="Times New Roman" w:eastAsia="Times New Roman" w:cs="Times New Roman"/>
                <w:color w:val="000000"/>
                <w:sz w:val="14"/>
              </w:rPr>
              <w:t>TAU</w:t>
            </w:r>
          </w:p>
        </w:tc>
        <w:tc>
          <w:tcPr>
            <w:tcW w:type="dxa" w:w="2250"/>
            <w:vAlign w:val="center"/>
            <w:tcMar>
              <w:top w:w="60" w:type="dxa"/>
              <w:start w:w="45" w:type="dxa"/>
              <w:bottom w:w="60" w:type="dxa"/>
              <w:end w:w="45" w:type="dxa"/>
            </w:tcMar>
            <w:tcBorders>
              <w:top w:val="single" w:sz="4" w:space="0" w:color="B7B7B7"/>
              <w:start w:val="single" w:sz="4" w:space="0" w:color="B7B7B7"/>
              <w:bottom w:val="single" w:sz="4" w:space="0" w:color="B7B7B7"/>
              <w:end w:val="single" w:sz="4" w:space="0" w:color="B7B7B7"/>
              <w:insideH w:val="single" w:sz="4" w:space="0" w:color="B7B7B7"/>
              <w:insideV w:val="single" w:sz="4" w:space="0" w:color="B7B7B7"/>
            </w:tcBorders>
          </w:tcPr>
          <w:p>
            <w:pPr>
              <w:keepLines/>
              <w:spacing w:before="0" w:after="0" w:line="240" w:lineRule="auto"/>
            </w:pPr>
            <w:r>
              <w:rPr>
                <w:rFonts w:ascii="Times New Roman" w:hAnsi="Times New Roman" w:eastAsia="Times New Roman" w:cs="Times New Roman"/>
                <w:color w:val="000000"/>
                <w:sz w:val="14"/>
              </w:rPr>
              <w:t>SPADE R5; qLogNEI R5</w:t>
            </w:r>
          </w:p>
        </w:tc>
        <w:tc>
          <w:tcPr>
            <w:tcW w:type="dxa" w:w="1000"/>
            <w:vAlign w:val="center"/>
            <w:tcMar>
              <w:top w:w="60" w:type="dxa"/>
              <w:start w:w="45" w:type="dxa"/>
              <w:bottom w:w="60" w:type="dxa"/>
              <w:end w:w="45" w:type="dxa"/>
            </w:tcMar>
            <w:tcBorders>
              <w:top w:val="single" w:sz="4" w:space="0" w:color="B7B7B7"/>
              <w:start w:val="single" w:sz="4" w:space="0" w:color="B7B7B7"/>
              <w:bottom w:val="single" w:sz="4" w:space="0" w:color="B7B7B7"/>
              <w:end w:val="single" w:sz="4" w:space="0" w:color="B7B7B7"/>
              <w:insideH w:val="single" w:sz="4" w:space="0" w:color="B7B7B7"/>
              <w:insideV w:val="single" w:sz="4" w:space="0" w:color="B7B7B7"/>
            </w:tcBorders>
          </w:tcPr>
          <w:p>
            <w:pPr>
              <w:keepLines/>
              <w:spacing w:before="0" w:after="0" w:line="240" w:lineRule="auto"/>
            </w:pPr>
            <w:r>
              <w:rPr>
                <w:rFonts w:ascii="Times New Roman" w:hAnsi="Times New Roman" w:eastAsia="Times New Roman" w:cs="Times New Roman"/>
                <w:color w:val="000000"/>
                <w:sz w:val="14"/>
              </w:rPr>
              <w:t>48</w:t>
            </w:r>
          </w:p>
        </w:tc>
        <w:tc>
          <w:tcPr>
            <w:tcW w:type="dxa" w:w="1550"/>
            <w:vAlign w:val="center"/>
            <w:tcMar>
              <w:top w:w="60" w:type="dxa"/>
              <w:start w:w="45" w:type="dxa"/>
              <w:bottom w:w="60" w:type="dxa"/>
              <w:end w:w="45" w:type="dxa"/>
            </w:tcMar>
            <w:tcBorders>
              <w:top w:val="single" w:sz="4" w:space="0" w:color="B7B7B7"/>
              <w:start w:val="single" w:sz="4" w:space="0" w:color="B7B7B7"/>
              <w:bottom w:val="single" w:sz="4" w:space="0" w:color="B7B7B7"/>
              <w:end w:val="single" w:sz="4" w:space="0" w:color="B7B7B7"/>
              <w:insideH w:val="single" w:sz="4" w:space="0" w:color="B7B7B7"/>
              <w:insideV w:val="single" w:sz="4" w:space="0" w:color="B7B7B7"/>
            </w:tcBorders>
          </w:tcPr>
          <w:p>
            <w:pPr>
              <w:keepLines/>
              <w:spacing w:before="0" w:after="0" w:line="240" w:lineRule="auto"/>
            </w:pPr>
            <w:r>
              <w:rPr>
                <w:rFonts w:ascii="Times New Roman" w:hAnsi="Times New Roman" w:eastAsia="Times New Roman" w:cs="Times New Roman"/>
                <w:color w:val="000000"/>
                <w:sz w:val="14"/>
              </w:rPr>
              <w:t>Five families x 64 seeds</w:t>
            </w:r>
          </w:p>
        </w:tc>
        <w:tc>
          <w:tcPr>
            <w:tcW w:type="dxa" w:w="1200"/>
            <w:vAlign w:val="center"/>
            <w:tcMar>
              <w:top w:w="60" w:type="dxa"/>
              <w:start w:w="45" w:type="dxa"/>
              <w:bottom w:w="60" w:type="dxa"/>
              <w:end w:w="45" w:type="dxa"/>
            </w:tcMar>
            <w:tcBorders>
              <w:top w:val="single" w:sz="4" w:space="0" w:color="B7B7B7"/>
              <w:start w:val="single" w:sz="4" w:space="0" w:color="B7B7B7"/>
              <w:bottom w:val="single" w:sz="4" w:space="0" w:color="B7B7B7"/>
              <w:end w:val="single" w:sz="4" w:space="0" w:color="B7B7B7"/>
              <w:insideH w:val="single" w:sz="4" w:space="0" w:color="B7B7B7"/>
              <w:insideV w:val="single" w:sz="4" w:space="0" w:color="B7B7B7"/>
            </w:tcBorders>
          </w:tcPr>
          <w:p>
            <w:pPr>
              <w:keepLines/>
              <w:spacing w:before="0" w:after="0" w:line="240" w:lineRule="auto"/>
            </w:pPr>
            <w:r>
              <w:rPr>
                <w:rFonts w:ascii="Times New Roman" w:hAnsi="Times New Roman" w:eastAsia="Times New Roman" w:cs="Times New Roman"/>
                <w:color w:val="000000"/>
                <w:sz w:val="14"/>
              </w:rPr>
              <w:t>0.70, 0.50, 0.30, 0.20, 0.10</w:t>
            </w:r>
          </w:p>
        </w:tc>
        <w:tc>
          <w:tcPr>
            <w:tcW w:type="dxa" w:w="2510"/>
            <w:vAlign w:val="center"/>
            <w:tcMar>
              <w:top w:w="60" w:type="dxa"/>
              <w:start w:w="45" w:type="dxa"/>
              <w:bottom w:w="60" w:type="dxa"/>
              <w:end w:w="45" w:type="dxa"/>
            </w:tcMar>
            <w:tcBorders>
              <w:top w:val="single" w:sz="4" w:space="0" w:color="B7B7B7"/>
              <w:start w:val="single" w:sz="4" w:space="0" w:color="B7B7B7"/>
              <w:bottom w:val="single" w:sz="4" w:space="0" w:color="B7B7B7"/>
              <w:end w:val="single" w:sz="4" w:space="0" w:color="B7B7B7"/>
              <w:insideH w:val="single" w:sz="4" w:space="0" w:color="B7B7B7"/>
              <w:insideV w:val="single" w:sz="4" w:space="0" w:color="B7B7B7"/>
            </w:tcBorders>
          </w:tcPr>
          <w:p>
            <w:pPr>
              <w:keepLines/>
              <w:spacing w:before="0" w:after="0" w:line="240" w:lineRule="auto"/>
            </w:pPr>
            <w:r>
              <w:rPr>
                <w:rFonts w:ascii="Times New Roman" w:hAnsi="Times New Roman" w:eastAsia="Times New Roman" w:cs="Times New Roman"/>
                <w:color w:val="000000"/>
                <w:sz w:val="14"/>
              </w:rPr>
              <w:t xml:space="preserve">Complete active grid; confirmatory/core descriptive gate for C5/C6; </w:t>
            </w:r>
            <w:r>
              <w:rPr>
                <w:rFonts w:ascii="Times New Roman" w:hAnsi="Times New Roman" w:eastAsia="Times New Roman" w:cs="Times New Roman"/>
                <w:color w:val="000000"/>
                <w:sz w:val="14"/>
              </w:rPr>
              <w:t>c={1,1.5,2,3}</w:t>
            </w:r>
            <w:r>
              <w:rPr>
                <w:rFonts w:ascii="Times New Roman" w:hAnsi="Times New Roman" w:eastAsia="Times New Roman" w:cs="Times New Roman"/>
                <w:color w:val="000000"/>
                <w:sz w:val="14"/>
              </w:rPr>
              <w:t>.</w:t>
            </w:r>
          </w:p>
        </w:tc>
      </w:tr>
      <w:tr>
        <w:trPr>
          <w:cantSplit/>
        </w:trPr>
        <w:tc>
          <w:tcPr>
            <w:tcW w:type="dxa" w:w="850"/>
            <w:vAlign w:val="center"/>
            <w:tcMar>
              <w:top w:w="60" w:type="dxa"/>
              <w:start w:w="45" w:type="dxa"/>
              <w:bottom w:w="60" w:type="dxa"/>
              <w:end w:w="45" w:type="dxa"/>
            </w:tcMar>
            <w:tcBorders>
              <w:top w:val="single" w:sz="4" w:space="0" w:color="B7B7B7"/>
              <w:start w:val="single" w:sz="4" w:space="0" w:color="B7B7B7"/>
              <w:bottom w:val="single" w:sz="4" w:space="0" w:color="B7B7B7"/>
              <w:end w:val="single" w:sz="4" w:space="0" w:color="B7B7B7"/>
              <w:insideH w:val="single" w:sz="4" w:space="0" w:color="B7B7B7"/>
              <w:insideV w:val="single" w:sz="4" w:space="0" w:color="B7B7B7"/>
            </w:tcBorders>
          </w:tcPr>
          <w:p>
            <w:pPr>
              <w:keepLines/>
              <w:spacing w:before="0" w:after="0" w:line="240" w:lineRule="auto"/>
            </w:pPr>
            <w:r>
              <w:rPr>
                <w:rFonts w:ascii="Times New Roman" w:hAnsi="Times New Roman" w:eastAsia="Times New Roman" w:cs="Times New Roman"/>
                <w:color w:val="000000"/>
                <w:sz w:val="14"/>
              </w:rPr>
              <w:t>TT</w:t>
            </w:r>
          </w:p>
        </w:tc>
        <w:tc>
          <w:tcPr>
            <w:tcW w:type="dxa" w:w="2250"/>
            <w:vAlign w:val="center"/>
            <w:tcMar>
              <w:top w:w="60" w:type="dxa"/>
              <w:start w:w="45" w:type="dxa"/>
              <w:bottom w:w="60" w:type="dxa"/>
              <w:end w:w="45" w:type="dxa"/>
            </w:tcMar>
            <w:tcBorders>
              <w:top w:val="single" w:sz="4" w:space="0" w:color="B7B7B7"/>
              <w:start w:val="single" w:sz="4" w:space="0" w:color="B7B7B7"/>
              <w:bottom w:val="single" w:sz="4" w:space="0" w:color="B7B7B7"/>
              <w:end w:val="single" w:sz="4" w:space="0" w:color="B7B7B7"/>
              <w:insideH w:val="single" w:sz="4" w:space="0" w:color="B7B7B7"/>
              <w:insideV w:val="single" w:sz="4" w:space="0" w:color="B7B7B7"/>
            </w:tcBorders>
          </w:tcPr>
          <w:p>
            <w:pPr>
              <w:keepLines/>
              <w:spacing w:before="0" w:after="0" w:line="240" w:lineRule="auto"/>
            </w:pPr>
            <w:r>
              <w:rPr>
                <w:rFonts w:ascii="Times New Roman" w:hAnsi="Times New Roman" w:eastAsia="Times New Roman" w:cs="Times New Roman"/>
                <w:color w:val="000000"/>
                <w:sz w:val="14"/>
              </w:rPr>
              <w:t>Committed SPADE R5; target-aligned SPADE R5; qLogNEI R5</w:t>
            </w:r>
          </w:p>
        </w:tc>
        <w:tc>
          <w:tcPr>
            <w:tcW w:type="dxa" w:w="1000"/>
            <w:vAlign w:val="center"/>
            <w:tcMar>
              <w:top w:w="60" w:type="dxa"/>
              <w:start w:w="45" w:type="dxa"/>
              <w:bottom w:w="60" w:type="dxa"/>
              <w:end w:w="45" w:type="dxa"/>
            </w:tcMar>
            <w:tcBorders>
              <w:top w:val="single" w:sz="4" w:space="0" w:color="B7B7B7"/>
              <w:start w:val="single" w:sz="4" w:space="0" w:color="B7B7B7"/>
              <w:bottom w:val="single" w:sz="4" w:space="0" w:color="B7B7B7"/>
              <w:end w:val="single" w:sz="4" w:space="0" w:color="B7B7B7"/>
              <w:insideH w:val="single" w:sz="4" w:space="0" w:color="B7B7B7"/>
              <w:insideV w:val="single" w:sz="4" w:space="0" w:color="B7B7B7"/>
            </w:tcBorders>
          </w:tcPr>
          <w:p>
            <w:pPr>
              <w:keepLines/>
              <w:spacing w:before="0" w:after="0" w:line="240" w:lineRule="auto"/>
            </w:pPr>
            <w:r>
              <w:rPr>
                <w:rFonts w:ascii="Times New Roman" w:hAnsi="Times New Roman" w:eastAsia="Times New Roman" w:cs="Times New Roman"/>
                <w:color w:val="000000"/>
                <w:sz w:val="14"/>
              </w:rPr>
              <w:t>48</w:t>
            </w:r>
          </w:p>
        </w:tc>
        <w:tc>
          <w:tcPr>
            <w:tcW w:type="dxa" w:w="1550"/>
            <w:vAlign w:val="center"/>
            <w:tcMar>
              <w:top w:w="60" w:type="dxa"/>
              <w:start w:w="45" w:type="dxa"/>
              <w:bottom w:w="60" w:type="dxa"/>
              <w:end w:w="45" w:type="dxa"/>
            </w:tcMar>
            <w:tcBorders>
              <w:top w:val="single" w:sz="4" w:space="0" w:color="B7B7B7"/>
              <w:start w:val="single" w:sz="4" w:space="0" w:color="B7B7B7"/>
              <w:bottom w:val="single" w:sz="4" w:space="0" w:color="B7B7B7"/>
              <w:end w:val="single" w:sz="4" w:space="0" w:color="B7B7B7"/>
              <w:insideH w:val="single" w:sz="4" w:space="0" w:color="B7B7B7"/>
              <w:insideV w:val="single" w:sz="4" w:space="0" w:color="B7B7B7"/>
            </w:tcBorders>
          </w:tcPr>
          <w:p>
            <w:pPr>
              <w:keepLines/>
              <w:spacing w:before="0" w:after="0" w:line="240" w:lineRule="auto"/>
            </w:pPr>
            <w:r>
              <w:rPr>
                <w:rFonts w:ascii="Times New Roman" w:hAnsi="Times New Roman" w:eastAsia="Times New Roman" w:cs="Times New Roman"/>
                <w:color w:val="000000"/>
                <w:sz w:val="14"/>
              </w:rPr>
              <w:t>Five families x 32 seeds</w:t>
            </w:r>
          </w:p>
        </w:tc>
        <w:tc>
          <w:tcPr>
            <w:tcW w:type="dxa" w:w="1200"/>
            <w:vAlign w:val="center"/>
            <w:tcMar>
              <w:top w:w="60" w:type="dxa"/>
              <w:start w:w="45" w:type="dxa"/>
              <w:bottom w:w="60" w:type="dxa"/>
              <w:end w:w="45" w:type="dxa"/>
            </w:tcMar>
            <w:tcBorders>
              <w:top w:val="single" w:sz="4" w:space="0" w:color="B7B7B7"/>
              <w:start w:val="single" w:sz="4" w:space="0" w:color="B7B7B7"/>
              <w:bottom w:val="single" w:sz="4" w:space="0" w:color="B7B7B7"/>
              <w:end w:val="single" w:sz="4" w:space="0" w:color="B7B7B7"/>
              <w:insideH w:val="single" w:sz="4" w:space="0" w:color="B7B7B7"/>
              <w:insideV w:val="single" w:sz="4" w:space="0" w:color="B7B7B7"/>
            </w:tcBorders>
          </w:tcPr>
          <w:p>
            <w:pPr>
              <w:keepLines/>
              <w:spacing w:before="0" w:after="0" w:line="240" w:lineRule="auto"/>
            </w:pPr>
            <w:r>
              <w:rPr>
                <w:rFonts w:ascii="Times New Roman" w:hAnsi="Times New Roman" w:eastAsia="Times New Roman" w:cs="Times New Roman"/>
                <w:color w:val="000000"/>
                <w:sz w:val="14"/>
              </w:rPr>
              <w:t>0.70, 0.30</w:t>
            </w:r>
          </w:p>
        </w:tc>
        <w:tc>
          <w:tcPr>
            <w:tcW w:type="dxa" w:w="2510"/>
            <w:vAlign w:val="center"/>
            <w:tcMar>
              <w:top w:w="60" w:type="dxa"/>
              <w:start w:w="45" w:type="dxa"/>
              <w:bottom w:w="60" w:type="dxa"/>
              <w:end w:w="45" w:type="dxa"/>
            </w:tcMar>
            <w:tcBorders>
              <w:top w:val="single" w:sz="4" w:space="0" w:color="B7B7B7"/>
              <w:start w:val="single" w:sz="4" w:space="0" w:color="B7B7B7"/>
              <w:bottom w:val="single" w:sz="4" w:space="0" w:color="B7B7B7"/>
              <w:end w:val="single" w:sz="4" w:space="0" w:color="B7B7B7"/>
              <w:insideH w:val="single" w:sz="4" w:space="0" w:color="B7B7B7"/>
              <w:insideV w:val="single" w:sz="4" w:space="0" w:color="B7B7B7"/>
            </w:tcBorders>
          </w:tcPr>
          <w:p>
            <w:pPr>
              <w:keepLines/>
              <w:spacing w:before="0" w:after="0" w:line="240" w:lineRule="auto"/>
            </w:pPr>
            <w:r>
              <w:rPr>
                <w:rFonts w:ascii="Times New Roman" w:hAnsi="Times New Roman" w:eastAsia="Times New Roman" w:cs="Times New Roman"/>
                <w:color w:val="000000"/>
                <w:sz w:val="14"/>
              </w:rPr>
              <w:t>Complete active grid; mechanism study S1.</w:t>
            </w:r>
          </w:p>
        </w:tc>
      </w:tr>
      <w:tr>
        <w:trPr>
          <w:cantSplit/>
        </w:trPr>
        <w:tc>
          <w:tcPr>
            <w:tcW w:type="dxa" w:w="850"/>
            <w:vAlign w:val="center"/>
            <w:tcMar>
              <w:top w:w="60" w:type="dxa"/>
              <w:start w:w="45" w:type="dxa"/>
              <w:bottom w:w="60" w:type="dxa"/>
              <w:end w:w="45" w:type="dxa"/>
            </w:tcMar>
            <w:tcBorders>
              <w:top w:val="single" w:sz="4" w:space="0" w:color="B7B7B7"/>
              <w:start w:val="single" w:sz="4" w:space="0" w:color="B7B7B7"/>
              <w:bottom w:val="single" w:sz="4" w:space="0" w:color="B7B7B7"/>
              <w:end w:val="single" w:sz="4" w:space="0" w:color="B7B7B7"/>
              <w:insideH w:val="single" w:sz="4" w:space="0" w:color="B7B7B7"/>
              <w:insideV w:val="single" w:sz="4" w:space="0" w:color="B7B7B7"/>
            </w:tcBorders>
          </w:tcPr>
          <w:p>
            <w:pPr>
              <w:keepLines/>
              <w:spacing w:before="0" w:after="0" w:line="240" w:lineRule="auto"/>
            </w:pPr>
            <w:r>
              <w:rPr>
                <w:rFonts w:ascii="Times New Roman" w:hAnsi="Times New Roman" w:eastAsia="Times New Roman" w:cs="Times New Roman"/>
                <w:color w:val="000000"/>
                <w:sz w:val="14"/>
              </w:rPr>
              <w:t>In-house iPSC-EC</w:t>
            </w:r>
          </w:p>
        </w:tc>
        <w:tc>
          <w:tcPr>
            <w:tcW w:type="dxa" w:w="2250"/>
            <w:vAlign w:val="center"/>
            <w:tcMar>
              <w:top w:w="60" w:type="dxa"/>
              <w:start w:w="45" w:type="dxa"/>
              <w:bottom w:w="60" w:type="dxa"/>
              <w:end w:w="45" w:type="dxa"/>
            </w:tcMar>
            <w:tcBorders>
              <w:top w:val="single" w:sz="4" w:space="0" w:color="B7B7B7"/>
              <w:start w:val="single" w:sz="4" w:space="0" w:color="B7B7B7"/>
              <w:bottom w:val="single" w:sz="4" w:space="0" w:color="B7B7B7"/>
              <w:end w:val="single" w:sz="4" w:space="0" w:color="B7B7B7"/>
              <w:insideH w:val="single" w:sz="4" w:space="0" w:color="B7B7B7"/>
              <w:insideV w:val="single" w:sz="4" w:space="0" w:color="B7B7B7"/>
            </w:tcBorders>
          </w:tcPr>
          <w:p>
            <w:pPr>
              <w:keepLines/>
              <w:spacing w:before="0" w:after="0" w:line="240" w:lineRule="auto"/>
            </w:pPr>
            <w:r>
              <w:rPr>
                <w:rFonts w:ascii="Times New Roman" w:hAnsi="Times New Roman" w:eastAsia="Times New Roman" w:cs="Times New Roman"/>
                <w:color w:val="000000"/>
                <w:sz w:val="14"/>
              </w:rPr>
              <w:t>Retrospective GP diagnostic; no adaptive rounds</w:t>
            </w:r>
          </w:p>
        </w:tc>
        <w:tc>
          <w:tcPr>
            <w:tcW w:type="dxa" w:w="1000"/>
            <w:vAlign w:val="center"/>
            <w:tcMar>
              <w:top w:w="60" w:type="dxa"/>
              <w:start w:w="45" w:type="dxa"/>
              <w:bottom w:w="60" w:type="dxa"/>
              <w:end w:w="45" w:type="dxa"/>
            </w:tcMar>
            <w:tcBorders>
              <w:top w:val="single" w:sz="4" w:space="0" w:color="B7B7B7"/>
              <w:start w:val="single" w:sz="4" w:space="0" w:color="B7B7B7"/>
              <w:bottom w:val="single" w:sz="4" w:space="0" w:color="B7B7B7"/>
              <w:end w:val="single" w:sz="4" w:space="0" w:color="B7B7B7"/>
              <w:insideH w:val="single" w:sz="4" w:space="0" w:color="B7B7B7"/>
              <w:insideV w:val="single" w:sz="4" w:space="0" w:color="B7B7B7"/>
            </w:tcBorders>
          </w:tcPr>
          <w:p>
            <w:pPr>
              <w:keepLines/>
              <w:spacing w:before="0" w:after="0" w:line="240" w:lineRule="auto"/>
            </w:pPr>
            <w:r>
              <w:rPr>
                <w:rFonts w:ascii="Times New Roman" w:hAnsi="Times New Roman" w:eastAsia="Times New Roman" w:cs="Times New Roman"/>
                <w:color w:val="000000"/>
                <w:sz w:val="14"/>
              </w:rPr>
              <w:t>12 observed tubes</w:t>
            </w:r>
          </w:p>
        </w:tc>
        <w:tc>
          <w:tcPr>
            <w:tcW w:type="dxa" w:w="1550"/>
            <w:vAlign w:val="center"/>
            <w:tcMar>
              <w:top w:w="60" w:type="dxa"/>
              <w:start w:w="45" w:type="dxa"/>
              <w:bottom w:w="60" w:type="dxa"/>
              <w:end w:w="45" w:type="dxa"/>
            </w:tcMar>
            <w:tcBorders>
              <w:top w:val="single" w:sz="4" w:space="0" w:color="B7B7B7"/>
              <w:start w:val="single" w:sz="4" w:space="0" w:color="B7B7B7"/>
              <w:bottom w:val="single" w:sz="4" w:space="0" w:color="B7B7B7"/>
              <w:end w:val="single" w:sz="4" w:space="0" w:color="B7B7B7"/>
              <w:insideH w:val="single" w:sz="4" w:space="0" w:color="B7B7B7"/>
              <w:insideV w:val="single" w:sz="4" w:space="0" w:color="B7B7B7"/>
            </w:tcBorders>
          </w:tcPr>
          <w:p>
            <w:pPr>
              <w:keepLines/>
              <w:spacing w:before="0" w:after="0" w:line="240" w:lineRule="auto"/>
            </w:pPr>
            <w:r>
              <w:rPr>
                <w:rFonts w:ascii="Times New Roman" w:hAnsi="Times New Roman" w:eastAsia="Times New Roman" w:cs="Times New Roman"/>
                <w:color w:val="000000"/>
                <w:sz w:val="14"/>
              </w:rPr>
              <w:t>No campaign seeds</w:t>
            </w:r>
          </w:p>
        </w:tc>
        <w:tc>
          <w:tcPr>
            <w:tcW w:type="dxa" w:w="1200"/>
            <w:vAlign w:val="center"/>
            <w:tcMar>
              <w:top w:w="60" w:type="dxa"/>
              <w:start w:w="45" w:type="dxa"/>
              <w:bottom w:w="60" w:type="dxa"/>
              <w:end w:w="45" w:type="dxa"/>
            </w:tcMar>
            <w:tcBorders>
              <w:top w:val="single" w:sz="4" w:space="0" w:color="B7B7B7"/>
              <w:start w:val="single" w:sz="4" w:space="0" w:color="B7B7B7"/>
              <w:bottom w:val="single" w:sz="4" w:space="0" w:color="B7B7B7"/>
              <w:end w:val="single" w:sz="4" w:space="0" w:color="B7B7B7"/>
              <w:insideH w:val="single" w:sz="4" w:space="0" w:color="B7B7B7"/>
              <w:insideV w:val="single" w:sz="4" w:space="0" w:color="B7B7B7"/>
            </w:tcBorders>
          </w:tcPr>
          <w:p>
            <w:pPr>
              <w:keepLines/>
              <w:spacing w:before="0" w:after="0" w:line="240" w:lineRule="auto"/>
            </w:pPr>
            <w:r>
              <w:rPr>
                <w:rFonts w:ascii="Times New Roman" w:hAnsi="Times New Roman" w:eastAsia="Times New Roman" w:cs="Times New Roman"/>
                <w:color w:val="000000"/>
                <w:sz w:val="14"/>
              </w:rPr>
              <w:t>Absolute thresholds</w:t>
            </w:r>
          </w:p>
        </w:tc>
        <w:tc>
          <w:tcPr>
            <w:tcW w:type="dxa" w:w="2510"/>
            <w:vAlign w:val="center"/>
            <w:tcMar>
              <w:top w:w="60" w:type="dxa"/>
              <w:start w:w="45" w:type="dxa"/>
              <w:bottom w:w="60" w:type="dxa"/>
              <w:end w:w="45" w:type="dxa"/>
            </w:tcMar>
            <w:tcBorders>
              <w:top w:val="single" w:sz="4" w:space="0" w:color="B7B7B7"/>
              <w:start w:val="single" w:sz="4" w:space="0" w:color="B7B7B7"/>
              <w:bottom w:val="single" w:sz="4" w:space="0" w:color="B7B7B7"/>
              <w:end w:val="single" w:sz="4" w:space="0" w:color="B7B7B7"/>
              <w:insideH w:val="single" w:sz="4" w:space="0" w:color="B7B7B7"/>
              <w:insideV w:val="single" w:sz="4" w:space="0" w:color="B7B7B7"/>
            </w:tcBorders>
          </w:tcPr>
          <w:p>
            <w:pPr>
              <w:keepLines/>
              <w:spacing w:before="0" w:after="0" w:line="240" w:lineRule="auto"/>
            </w:pPr>
            <w:r>
              <w:rPr>
                <w:rFonts w:ascii="Times New Roman" w:hAnsi="Times New Roman" w:eastAsia="Times New Roman" w:cs="Times New Roman"/>
                <w:color w:val="000000"/>
                <w:sz w:val="14"/>
              </w:rPr>
              <w:t xml:space="preserve">Provisional support; </w:t>
            </w:r>
            <w:r>
              <w:rPr>
                <w:rFonts w:ascii="Times New Roman" w:hAnsi="Times New Roman" w:eastAsia="Times New Roman" w:cs="Times New Roman"/>
                <w:color w:val="000000"/>
                <w:sz w:val="14"/>
              </w:rPr>
              <w:t>awaiting_human_signoff</w:t>
            </w:r>
            <w:r>
              <w:rPr>
                <w:rFonts w:ascii="Times New Roman" w:hAnsi="Times New Roman" w:eastAsia="Times New Roman" w:cs="Times New Roman"/>
                <w:color w:val="000000"/>
                <w:sz w:val="14"/>
              </w:rPr>
              <w:t>; not prospective validation.</w:t>
            </w:r>
          </w:p>
        </w:tc>
      </w:tr>
      <w:tr>
        <w:trPr>
          <w:cantSplit/>
        </w:trPr>
        <w:tc>
          <w:tcPr>
            <w:tcW w:type="dxa" w:w="850"/>
            <w:vAlign w:val="center"/>
            <w:tcMar>
              <w:top w:w="60" w:type="dxa"/>
              <w:start w:w="45" w:type="dxa"/>
              <w:bottom w:w="60" w:type="dxa"/>
              <w:end w:w="45" w:type="dxa"/>
            </w:tcMar>
            <w:tcBorders>
              <w:top w:val="single" w:sz="4" w:space="0" w:color="B7B7B7"/>
              <w:start w:val="single" w:sz="4" w:space="0" w:color="B7B7B7"/>
              <w:bottom w:val="single" w:sz="4" w:space="0" w:color="B7B7B7"/>
              <w:end w:val="single" w:sz="4" w:space="0" w:color="B7B7B7"/>
              <w:insideH w:val="single" w:sz="4" w:space="0" w:color="B7B7B7"/>
              <w:insideV w:val="single" w:sz="4" w:space="0" w:color="B7B7B7"/>
            </w:tcBorders>
          </w:tcPr>
          <w:p>
            <w:pPr>
              <w:keepLines/>
              <w:spacing w:before="0" w:after="0" w:line="240" w:lineRule="auto"/>
            </w:pPr>
            <w:r>
              <w:rPr>
                <w:rFonts w:ascii="Times New Roman" w:hAnsi="Times New Roman" w:eastAsia="Times New Roman" w:cs="Times New Roman"/>
                <w:color w:val="000000"/>
                <w:sz w:val="14"/>
              </w:rPr>
              <w:t>Hall/Ogle</w:t>
            </w:r>
          </w:p>
        </w:tc>
        <w:tc>
          <w:tcPr>
            <w:tcW w:type="dxa" w:w="2250"/>
            <w:vAlign w:val="center"/>
            <w:tcMar>
              <w:top w:w="60" w:type="dxa"/>
              <w:start w:w="45" w:type="dxa"/>
              <w:bottom w:w="60" w:type="dxa"/>
              <w:end w:w="45" w:type="dxa"/>
            </w:tcMar>
            <w:tcBorders>
              <w:top w:val="single" w:sz="4" w:space="0" w:color="B7B7B7"/>
              <w:start w:val="single" w:sz="4" w:space="0" w:color="B7B7B7"/>
              <w:bottom w:val="single" w:sz="4" w:space="0" w:color="B7B7B7"/>
              <w:end w:val="single" w:sz="4" w:space="0" w:color="B7B7B7"/>
              <w:insideH w:val="single" w:sz="4" w:space="0" w:color="B7B7B7"/>
              <w:insideV w:val="single" w:sz="4" w:space="0" w:color="B7B7B7"/>
            </w:tcBorders>
          </w:tcPr>
          <w:p>
            <w:pPr>
              <w:keepLines/>
              <w:spacing w:before="0" w:after="0" w:line="240" w:lineRule="auto"/>
            </w:pPr>
            <w:r>
              <w:rPr>
                <w:rFonts w:ascii="Times New Roman" w:hAnsi="Times New Roman" w:eastAsia="Times New Roman" w:cs="Times New Roman"/>
                <w:color w:val="000000"/>
                <w:sz w:val="14"/>
              </w:rPr>
              <w:t>Retrospective GP diagnostic; no adaptive rounds</w:t>
            </w:r>
          </w:p>
        </w:tc>
        <w:tc>
          <w:tcPr>
            <w:tcW w:type="dxa" w:w="1000"/>
            <w:vAlign w:val="center"/>
            <w:tcMar>
              <w:top w:w="60" w:type="dxa"/>
              <w:start w:w="45" w:type="dxa"/>
              <w:bottom w:w="60" w:type="dxa"/>
              <w:end w:w="45" w:type="dxa"/>
            </w:tcMar>
            <w:tcBorders>
              <w:top w:val="single" w:sz="4" w:space="0" w:color="B7B7B7"/>
              <w:start w:val="single" w:sz="4" w:space="0" w:color="B7B7B7"/>
              <w:bottom w:val="single" w:sz="4" w:space="0" w:color="B7B7B7"/>
              <w:end w:val="single" w:sz="4" w:space="0" w:color="B7B7B7"/>
              <w:insideH w:val="single" w:sz="4" w:space="0" w:color="B7B7B7"/>
              <w:insideV w:val="single" w:sz="4" w:space="0" w:color="B7B7B7"/>
            </w:tcBorders>
          </w:tcPr>
          <w:p>
            <w:pPr>
              <w:keepLines/>
              <w:spacing w:before="0" w:after="0" w:line="240" w:lineRule="auto"/>
            </w:pPr>
            <w:r>
              <w:rPr>
                <w:rFonts w:ascii="Times New Roman" w:hAnsi="Times New Roman" w:eastAsia="Times New Roman" w:cs="Times New Roman"/>
                <w:color w:val="000000"/>
                <w:sz w:val="14"/>
              </w:rPr>
              <w:t>23 usable stage-1 compositions</w:t>
            </w:r>
          </w:p>
        </w:tc>
        <w:tc>
          <w:tcPr>
            <w:tcW w:type="dxa" w:w="1550"/>
            <w:vAlign w:val="center"/>
            <w:tcMar>
              <w:top w:w="60" w:type="dxa"/>
              <w:start w:w="45" w:type="dxa"/>
              <w:bottom w:w="60" w:type="dxa"/>
              <w:end w:w="45" w:type="dxa"/>
            </w:tcMar>
            <w:tcBorders>
              <w:top w:val="single" w:sz="4" w:space="0" w:color="B7B7B7"/>
              <w:start w:val="single" w:sz="4" w:space="0" w:color="B7B7B7"/>
              <w:bottom w:val="single" w:sz="4" w:space="0" w:color="B7B7B7"/>
              <w:end w:val="single" w:sz="4" w:space="0" w:color="B7B7B7"/>
              <w:insideH w:val="single" w:sz="4" w:space="0" w:color="B7B7B7"/>
              <w:insideV w:val="single" w:sz="4" w:space="0" w:color="B7B7B7"/>
            </w:tcBorders>
          </w:tcPr>
          <w:p>
            <w:pPr>
              <w:keepLines/>
              <w:spacing w:before="0" w:after="0" w:line="240" w:lineRule="auto"/>
            </w:pPr>
            <w:r>
              <w:rPr>
                <w:rFonts w:ascii="Times New Roman" w:hAnsi="Times New Roman" w:eastAsia="Times New Roman" w:cs="Times New Roman"/>
                <w:color w:val="000000"/>
                <w:sz w:val="14"/>
              </w:rPr>
              <w:t>No campaign seeds</w:t>
            </w:r>
          </w:p>
        </w:tc>
        <w:tc>
          <w:tcPr>
            <w:tcW w:type="dxa" w:w="1200"/>
            <w:vAlign w:val="center"/>
            <w:tcMar>
              <w:top w:w="60" w:type="dxa"/>
              <w:start w:w="45" w:type="dxa"/>
              <w:bottom w:w="60" w:type="dxa"/>
              <w:end w:w="45" w:type="dxa"/>
            </w:tcMar>
            <w:tcBorders>
              <w:top w:val="single" w:sz="4" w:space="0" w:color="B7B7B7"/>
              <w:start w:val="single" w:sz="4" w:space="0" w:color="B7B7B7"/>
              <w:bottom w:val="single" w:sz="4" w:space="0" w:color="B7B7B7"/>
              <w:end w:val="single" w:sz="4" w:space="0" w:color="B7B7B7"/>
              <w:insideH w:val="single" w:sz="4" w:space="0" w:color="B7B7B7"/>
              <w:insideV w:val="single" w:sz="4" w:space="0" w:color="B7B7B7"/>
            </w:tcBorders>
          </w:tcPr>
          <w:p>
            <w:pPr>
              <w:keepLines/>
              <w:spacing w:before="0" w:after="0" w:line="240" w:lineRule="auto"/>
            </w:pPr>
            <w:r>
              <w:rPr>
                <w:rFonts w:ascii="Times New Roman" w:hAnsi="Times New Roman" w:eastAsia="Times New Roman" w:cs="Times New Roman"/>
                <w:color w:val="000000"/>
                <w:sz w:val="14"/>
              </w:rPr>
              <w:t>Multiples of observed median</w:t>
            </w:r>
          </w:p>
        </w:tc>
        <w:tc>
          <w:tcPr>
            <w:tcW w:type="dxa" w:w="2510"/>
            <w:vAlign w:val="center"/>
            <w:tcMar>
              <w:top w:w="60" w:type="dxa"/>
              <w:start w:w="45" w:type="dxa"/>
              <w:bottom w:w="60" w:type="dxa"/>
              <w:end w:w="45" w:type="dxa"/>
            </w:tcMar>
            <w:tcBorders>
              <w:top w:val="single" w:sz="4" w:space="0" w:color="B7B7B7"/>
              <w:start w:val="single" w:sz="4" w:space="0" w:color="B7B7B7"/>
              <w:bottom w:val="single" w:sz="4" w:space="0" w:color="B7B7B7"/>
              <w:end w:val="single" w:sz="4" w:space="0" w:color="B7B7B7"/>
              <w:insideH w:val="single" w:sz="4" w:space="0" w:color="B7B7B7"/>
              <w:insideV w:val="single" w:sz="4" w:space="0" w:color="B7B7B7"/>
            </w:tcBorders>
          </w:tcPr>
          <w:p>
            <w:pPr>
              <w:keepLines/>
              <w:spacing w:before="0" w:after="0" w:line="240" w:lineRule="auto"/>
            </w:pPr>
            <w:r>
              <w:rPr>
                <w:rFonts w:ascii="Times New Roman" w:hAnsi="Times New Roman" w:eastAsia="Times New Roman" w:cs="Times New Roman"/>
                <w:color w:val="000000"/>
                <w:sz w:val="14"/>
              </w:rPr>
              <w:t>Published-data support [23]; not a prospective SPADE campaign.</w:t>
            </w:r>
          </w:p>
        </w:tc>
      </w:tr>
    </w:tbl>
    <w:p>
      <w:pPr>
        <w:spacing w:after="0"/>
      </w:pPr>
    </w:p>
    <w:p>
      <w:pPr>
        <w:pStyle w:val="Heading2"/>
      </w:pPr>
      <w:r>
        <w:rPr>
          <w:rFonts w:ascii="Times New Roman" w:hAnsi="Times New Roman" w:eastAsia="Times New Roman" w:cs="Times New Roman"/>
          <w:color w:val="000000"/>
          <w:sz w:val="24"/>
        </w:rPr>
        <w:t>2.2 SPADE and regional decision rule</w:t>
      </w:r>
    </w:p>
    <w:p>
      <w:r>
        <w:rPr>
          <w:rFonts w:ascii="Times New Roman" w:hAnsi="Times New Roman" w:eastAsia="Times New Roman" w:cs="Times New Roman"/>
          <w:color w:val="000000"/>
          <w:sz w:val="24"/>
        </w:rPr>
        <w:t xml:space="preserve">SPADE fits a GP to coordinates </w:t>
      </w:r>
      <w:r>
        <w:rPr>
          <w:rFonts w:ascii="Times New Roman" w:hAnsi="Times New Roman" w:eastAsia="Times New Roman" w:cs="Times New Roman"/>
          <w:color w:val="000000"/>
          <w:sz w:val="24"/>
        </w:rPr>
        <w:t>X</w:t>
      </w:r>
      <w:r>
        <w:rPr>
          <w:rFonts w:ascii="Times New Roman" w:hAnsi="Times New Roman" w:eastAsia="Times New Roman" w:cs="Times New Roman"/>
          <w:color w:val="000000"/>
          <w:sz w:val="24"/>
        </w:rPr>
        <w:t xml:space="preserve">, normalized outcomes </w:t>
      </w:r>
      <w:r>
        <w:rPr>
          <w:rFonts w:ascii="Times New Roman" w:hAnsi="Times New Roman" w:eastAsia="Times New Roman" w:cs="Times New Roman"/>
          <w:color w:val="000000"/>
          <w:sz w:val="24"/>
        </w:rPr>
        <w:t>Y</w:t>
      </w:r>
      <w:r>
        <w:rPr>
          <w:rFonts w:ascii="Times New Roman" w:hAnsi="Times New Roman" w:eastAsia="Times New Roman" w:cs="Times New Roman"/>
          <w:color w:val="000000"/>
          <w:sz w:val="24"/>
        </w:rPr>
        <w:t xml:space="preserve">, and plug-in observation variances </w:t>
      </w:r>
      <w:r>
        <w:rPr>
          <w:rFonts w:ascii="Times New Roman" w:hAnsi="Times New Roman" w:eastAsia="Times New Roman" w:cs="Times New Roman"/>
          <w:color w:val="000000"/>
          <w:sz w:val="24"/>
        </w:rPr>
        <w:t>Yvar</w:t>
      </w:r>
      <w:r>
        <w:rPr>
          <w:rFonts w:ascii="Times New Roman" w:hAnsi="Times New Roman" w:eastAsia="Times New Roman" w:cs="Times New Roman"/>
          <w:color w:val="000000"/>
          <w:sz w:val="24"/>
        </w:rPr>
        <w:t>. The synthetic oracle supplied per-well variances for SPADE and qLogNEI; DoE adapters used the registered constant plug-in variance. SPADE begins with a space-filling batch, refits after each later batch, and samples near the uncertain boundary using its registered conservative-set straddle acquisition. This implementation is related to, but does not inherit guarantees from, prior level-set losses [1--4].</w:t>
      </w:r>
    </w:p>
    <w:p>
      <w:r>
        <w:rPr>
          <w:rFonts w:ascii="Times New Roman" w:hAnsi="Times New Roman" w:eastAsia="Times New Roman" w:cs="Times New Roman"/>
          <w:color w:val="000000"/>
          <w:sz w:val="24"/>
        </w:rPr>
        <w:t xml:space="preserve">For posterior draw </w:t>
      </w:r>
      <w:r>
        <w:rPr>
          <w:rFonts w:ascii="Times New Roman" w:hAnsi="Times New Roman" w:eastAsia="Times New Roman" w:cs="Times New Roman"/>
          <w:color w:val="000000"/>
          <w:sz w:val="24"/>
        </w:rPr>
        <w:t>b</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Gamma^(b)={x:f^(b)(x)&gt;=tau}</w:t>
      </w:r>
      <w:r>
        <w:rPr>
          <w:rFonts w:ascii="Times New Roman" w:hAnsi="Times New Roman" w:eastAsia="Times New Roman" w:cs="Times New Roman"/>
          <w:color w:val="000000"/>
          <w:sz w:val="24"/>
        </w:rPr>
        <w:t xml:space="preserve"> is evaluated on the registered grid. The algorithm scans 64 nested Vorob'ev levels and returns the largest scanned candidate whose same-draw Monte Carlo joint model-containment estimate reaches </w:t>
      </w:r>
      <w:r>
        <w:rPr>
          <w:rFonts w:ascii="Times New Roman" w:hAnsi="Times New Roman" w:eastAsia="Times New Roman" w:cs="Times New Roman"/>
          <w:color w:val="000000"/>
          <w:sz w:val="24"/>
        </w:rPr>
        <w:t>alpha=0.95</w:t>
      </w:r>
      <w:r>
        <w:rPr>
          <w:rFonts w:ascii="Times New Roman" w:hAnsi="Times New Roman" w:eastAsia="Times New Roman" w:cs="Times New Roman"/>
          <w:color w:val="000000"/>
          <w:sz w:val="24"/>
        </w:rPr>
        <w:t xml:space="preserve">; posterior inflation </w:t>
      </w:r>
      <w:r>
        <w:rPr>
          <w:rFonts w:ascii="Times New Roman" w:hAnsi="Times New Roman" w:eastAsia="Times New Roman" w:cs="Times New Roman"/>
          <w:color w:val="000000"/>
          <w:sz w:val="24"/>
        </w:rPr>
        <w:t>c</w:t>
      </w:r>
      <w:r>
        <w:rPr>
          <w:rFonts w:ascii="Times New Roman" w:hAnsi="Times New Roman" w:eastAsia="Times New Roman" w:cs="Times New Roman"/>
          <w:color w:val="000000"/>
          <w:sz w:val="24"/>
        </w:rPr>
        <w:t xml:space="preserve"> is selected from </w:t>
      </w:r>
      <w:r>
        <w:rPr>
          <w:rFonts w:ascii="Times New Roman" w:hAnsi="Times New Roman" w:eastAsia="Times New Roman" w:cs="Times New Roman"/>
          <w:color w:val="000000"/>
          <w:sz w:val="24"/>
        </w:rPr>
        <w:t>{1.0,1.5,2.0,3.0}</w:t>
      </w:r>
      <w:r>
        <w:rPr>
          <w:rFonts w:ascii="Times New Roman" w:hAnsi="Times New Roman" w:eastAsia="Times New Roman" w:cs="Times New Roman"/>
          <w:color w:val="000000"/>
          <w:sz w:val="24"/>
        </w:rPr>
        <w:t>. “Largest” means largest among these finite candidates, not a global continuous-domain optimum. No non-empty passing candidate yields abstention.</w:t>
      </w:r>
    </w:p>
    <w:p>
      <w:r>
        <w:rPr>
          <w:rFonts w:ascii="Times New Roman" w:hAnsi="Times New Roman" w:eastAsia="Times New Roman" w:cs="Times New Roman"/>
          <w:color w:val="000000"/>
          <w:sz w:val="24"/>
        </w:rPr>
        <w:t xml:space="preserve">Recorded outcomes are </w:t>
      </w:r>
      <w:r>
        <w:rPr>
          <w:rFonts w:ascii="Times New Roman" w:hAnsi="Times New Roman" w:eastAsia="Times New Roman" w:cs="Times New Roman"/>
          <w:color w:val="000000"/>
          <w:sz w:val="24"/>
        </w:rPr>
        <w:t>answered</w:t>
      </w:r>
      <w:r>
        <w:rPr>
          <w:rFonts w:ascii="Times New Roman" w:hAnsi="Times New Roman" w:eastAsia="Times New Roman" w:cs="Times New Roman"/>
          <w:color w:val="000000"/>
          <w:sz w:val="24"/>
        </w:rPr>
        <w:t xml:space="preserve">, truth </w:t>
      </w:r>
      <w:r>
        <w:rPr>
          <w:rFonts w:ascii="Times New Roman" w:hAnsi="Times New Roman" w:eastAsia="Times New Roman" w:cs="Times New Roman"/>
          <w:color w:val="000000"/>
          <w:sz w:val="24"/>
        </w:rPr>
        <w:t>contained</w:t>
      </w:r>
      <w:r>
        <w:rPr>
          <w:rFonts w:ascii="Times New Roman" w:hAnsi="Times New Roman" w:eastAsia="Times New Roman" w:cs="Times New Roman"/>
          <w:color w:val="000000"/>
          <w:sz w:val="24"/>
        </w:rPr>
        <w:t xml:space="preserve"> conditional on an answer, answer rate, conditional empirical containment, certified grid volume, and simple regret. Truth containment uses the known synthetic surface; model-internal containment is not validation. The registered gate requires a one-sided 95% Clopper--Pearson lower bound at least 0.90 and answer rate at least 0.05. These bounds summarize the observed answered-cell proportion under ordinary binomial assumptions, not cluster-aware campaign-level coverage [20].</w:t>
      </w:r>
    </w:p>
    <w:p>
      <w:pPr>
        <w:pStyle w:val="Heading2"/>
      </w:pPr>
      <w:r>
        <w:rPr>
          <w:rFonts w:ascii="Times New Roman" w:hAnsi="Times New Roman" w:eastAsia="Times New Roman" w:cs="Times New Roman"/>
          <w:color w:val="000000"/>
          <w:sz w:val="24"/>
        </w:rPr>
        <w:t>2.3 Comparators and calibration</w:t>
      </w:r>
    </w:p>
    <w:p>
      <w:r>
        <w:rPr>
          <w:rFonts w:ascii="Times New Roman" w:hAnsi="Times New Roman" w:eastAsia="Times New Roman" w:cs="Times New Roman"/>
          <w:color w:val="000000"/>
          <w:sz w:val="24"/>
        </w:rPr>
        <w:t>qLogNEI used the same well budget and GP model but optimized noisy expected improvement [10--12]. Its observations then entered the common regional estimator; a qLogNEI certificate is common post-processing, not an intrinsic qLogNEI output. Screened DoE used a 20-run six-factor screen reduced to four factors, a 27-run face-centred response-surface design, and one confirmation well. The unscreened arm omitted screening while retaining the registered budget and low-order model. These arms do not represent all classical, optimal, robust, or model-based designs.</w:t>
      </w:r>
    </w:p>
    <w:p>
      <w:r>
        <w:rPr>
          <w:rFonts w:ascii="Times New Roman" w:hAnsi="Times New Roman" w:eastAsia="Times New Roman" w:cs="Times New Roman"/>
          <w:color w:val="000000"/>
          <w:sz w:val="24"/>
        </w:rPr>
        <w:t xml:space="preserve">Calibration differed by claim. LC/C3 selected the smallest passing </w:t>
      </w:r>
      <w:r>
        <w:rPr>
          <w:rFonts w:ascii="Times New Roman" w:hAnsi="Times New Roman" w:eastAsia="Times New Roman" w:cs="Times New Roman"/>
          <w:color w:val="000000"/>
          <w:sz w:val="24"/>
        </w:rPr>
        <w:t>c</w:t>
      </w:r>
      <w:r>
        <w:rPr>
          <w:rFonts w:ascii="Times New Roman" w:hAnsi="Times New Roman" w:eastAsia="Times New Roman" w:cs="Times New Roman"/>
          <w:color w:val="000000"/>
          <w:sz w:val="24"/>
        </w:rPr>
        <w:t xml:space="preserve"> on four families and evaluated it on the held-out fifth; selection and scoring pooled prevalences 0.30 and 0.10. In DC/C2, SPADE selected </w:t>
      </w:r>
      <w:r>
        <w:rPr>
          <w:rFonts w:ascii="Times New Roman" w:hAnsi="Times New Roman" w:eastAsia="Times New Roman" w:cs="Times New Roman"/>
          <w:color w:val="000000"/>
          <w:sz w:val="24"/>
        </w:rPr>
        <w:t>c=1</w:t>
      </w:r>
      <w:r>
        <w:rPr>
          <w:rFonts w:ascii="Times New Roman" w:hAnsi="Times New Roman" w:eastAsia="Times New Roman" w:cs="Times New Roman"/>
          <w:color w:val="000000"/>
          <w:sz w:val="24"/>
        </w:rPr>
        <w:t xml:space="preserve"> using the DC cells themselves. Neither DoE arm passed the registered gate at any tested inflation, so the screened and unscreened DoE counts are baseline </w:t>
      </w:r>
      <w:r>
        <w:rPr>
          <w:rFonts w:ascii="Times New Roman" w:hAnsi="Times New Roman" w:eastAsia="Times New Roman" w:cs="Times New Roman"/>
          <w:color w:val="000000"/>
          <w:sz w:val="24"/>
        </w:rPr>
        <w:t>c=1</w:t>
      </w:r>
      <w:r>
        <w:rPr>
          <w:rFonts w:ascii="Times New Roman" w:hAnsi="Times New Roman" w:eastAsia="Times New Roman" w:cs="Times New Roman"/>
          <w:color w:val="000000"/>
          <w:sz w:val="24"/>
        </w:rPr>
        <w:t xml:space="preserve"> diagnostics rather than selected passing certificates. C2 is in-sample and descriptive, not the held-out-family procedure used for C3.</w:t>
      </w:r>
    </w:p>
    <w:p>
      <w:pPr>
        <w:pStyle w:val="Heading2"/>
      </w:pPr>
      <w:r>
        <w:rPr>
          <w:rFonts w:ascii="Times New Roman" w:hAnsi="Times New Roman" w:eastAsia="Times New Roman" w:cs="Times New Roman"/>
          <w:color w:val="000000"/>
          <w:sz w:val="24"/>
        </w:rPr>
        <w:t>2.4 Statistical analysis and real-data support</w:t>
      </w:r>
    </w:p>
    <w:p>
      <w:r>
        <w:rPr>
          <w:rFonts w:ascii="Times New Roman" w:hAnsi="Times New Roman" w:eastAsia="Times New Roman" w:cs="Times New Roman"/>
          <w:color w:val="000000"/>
          <w:sz w:val="24"/>
        </w:rPr>
        <w:t xml:space="preserve">Contrasts were paired by </w:t>
      </w:r>
      <w:r>
        <w:rPr>
          <w:rFonts w:ascii="Times New Roman" w:hAnsi="Times New Roman" w:eastAsia="Times New Roman" w:cs="Times New Roman"/>
          <w:color w:val="000000"/>
          <w:sz w:val="24"/>
        </w:rPr>
        <w:t>(family,seed)</w:t>
      </w:r>
      <w:r>
        <w:rPr>
          <w:rFonts w:ascii="Times New Roman" w:hAnsi="Times New Roman" w:eastAsia="Times New Roman" w:cs="Times New Roman"/>
          <w:color w:val="000000"/>
          <w:sz w:val="24"/>
        </w:rPr>
        <w:t xml:space="preserve"> or </w:t>
      </w:r>
      <w:r>
        <w:rPr>
          <w:rFonts w:ascii="Times New Roman" w:hAnsi="Times New Roman" w:eastAsia="Times New Roman" w:cs="Times New Roman"/>
          <w:color w:val="000000"/>
          <w:sz w:val="24"/>
        </w:rPr>
        <w:t>(family,seed,prevalence)</w:t>
      </w:r>
      <w:r>
        <w:rPr>
          <w:rFonts w:ascii="Times New Roman" w:hAnsi="Times New Roman" w:eastAsia="Times New Roman" w:cs="Times New Roman"/>
          <w:color w:val="000000"/>
          <w:sz w:val="24"/>
        </w:rPr>
        <w:t>. Frozen analysers used 8,000 ordinary nonparametric bootstrap resamples of flat contrast rows, percentile intervals, and two-sided bootstrap tail-area proportions relative to zero. Because observations can share families, landscapes, seeds, prevalences, or campaigns, these are conditional descriptive summaries under a cell-exchangeability approximation and may be too narrow under within-cluster dependence. C1 used a regret smallest effect of interest of 0.02; crossing its boundary was not interpreted as equivalence.</w:t>
      </w:r>
    </w:p>
    <w:p>
      <w:r>
        <w:rPr>
          <w:rFonts w:ascii="Times New Roman" w:hAnsi="Times New Roman" w:eastAsia="Times New Roman" w:cs="Times New Roman"/>
          <w:color w:val="000000"/>
          <w:sz w:val="24"/>
        </w:rPr>
        <w:t xml:space="preserve">For C5, each of 25 family-prevalence cells paired SPADE answer rate at </w:t>
      </w:r>
      <w:r>
        <w:rPr>
          <w:rFonts w:ascii="Times New Roman" w:hAnsi="Times New Roman" w:eastAsia="Times New Roman" w:cs="Times New Roman"/>
          <w:color w:val="000000"/>
          <w:sz w:val="24"/>
        </w:rPr>
        <w:t>c=1.0</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alpha=0.95</w:t>
      </w:r>
      <w:r>
        <w:rPr>
          <w:rFonts w:ascii="Times New Roman" w:hAnsi="Times New Roman" w:eastAsia="Times New Roman" w:cs="Times New Roman"/>
          <w:color w:val="000000"/>
          <w:sz w:val="24"/>
        </w:rPr>
        <w:t xml:space="preserve"> with the mean of 64 unique seed-specific true margin-to-noise values. Median margin and qLogNEI answer rate were sensitivities. Cells are nested within five families and share ordered prevalences; the Spearman coefficient is descriptive, without a naive independence-based p-value.</w:t>
      </w:r>
    </w:p>
    <w:p>
      <w:r>
        <w:rPr>
          <w:rFonts w:ascii="Times New Roman" w:hAnsi="Times New Roman" w:eastAsia="Times New Roman" w:cs="Times New Roman"/>
          <w:color w:val="000000"/>
          <w:sz w:val="24"/>
        </w:rPr>
        <w:t>Retrospective support used an in-house iPSC-EC candidate dataset and the published Hall--Ogle stage-1 extraction [23]. Mean-marginalized covariance propagated estimated-mean uncertainty. Leave-one-out (LOO) inflation evaluated held-out observation prediction, not latent-response uncertainty or prospective set containment.</w:t>
      </w:r>
    </w:p>
    <w:p>
      <w:pPr>
        <w:pStyle w:val="Heading2"/>
      </w:pPr>
      <w:r>
        <w:rPr>
          <w:rFonts w:ascii="Times New Roman" w:hAnsi="Times New Roman" w:eastAsia="Times New Roman" w:cs="Times New Roman"/>
          <w:color w:val="000000"/>
          <w:sz w:val="24"/>
        </w:rPr>
        <w:t>2.5 Display-item status</w:t>
      </w:r>
    </w:p>
    <w:p>
      <w:r>
        <w:rPr>
          <w:rFonts w:ascii="Times New Roman" w:hAnsi="Times New Roman" w:eastAsia="Times New Roman" w:cs="Times New Roman"/>
          <w:color w:val="000000"/>
          <w:sz w:val="24"/>
        </w:rPr>
        <w:t>Tables 1--3 are the current manuscript display items. Existing repository figures describe historical pipeline states and are not cited as current results. A figure package regenerated from the active pipeline is pending; no conclusion depends on it.</w:t>
      </w:r>
    </w:p>
    <w:p>
      <w:pPr>
        <w:pStyle w:val="Heading1"/>
      </w:pPr>
      <w:r>
        <w:rPr>
          <w:rFonts w:ascii="Times New Roman" w:hAnsi="Times New Roman" w:eastAsia="Times New Roman" w:cs="Times New Roman"/>
          <w:color w:val="000000"/>
          <w:sz w:val="24"/>
        </w:rPr>
        <w:t>3. Results</w:t>
      </w:r>
    </w:p>
    <w:p>
      <w:r>
        <w:rPr>
          <w:rFonts w:ascii="Times New Roman" w:hAnsi="Times New Roman" w:eastAsia="Times New Roman" w:cs="Times New Roman"/>
          <w:color w:val="000000"/>
          <w:sz w:val="24"/>
        </w:rPr>
        <w:t>Table 3 gives the exact analysis populations and status. Regional-containment rows state target, noise, assurance, wells, rounds, seeds, answered denominator, and contained numerator locally.</w:t>
      </w:r>
    </w:p>
    <w:p>
      <w:pPr>
        <w:keepNext/>
        <w:spacing w:before="160" w:after="80" w:line="240" w:lineRule="auto"/>
      </w:pPr>
      <w:r>
        <w:rPr>
          <w:rFonts w:ascii="Times New Roman" w:hAnsi="Times New Roman" w:eastAsia="Times New Roman" w:cs="Times New Roman"/>
          <w:b/>
          <w:color w:val="000000"/>
          <w:sz w:val="20"/>
        </w:rPr>
        <w:t>Table 3. Primary and supporting results.</w:t>
      </w:r>
    </w:p>
    <w:tbl>
      <w:tblPr>
        <w:tblW w:type="auto" w:w="0"/>
        <w:jc w:val="center"/>
        <w:tblLayout w:type="fixed"/>
        <w:tblLook w:firstColumn="1" w:firstRow="1" w:lastColumn="0" w:lastRow="0" w:noHBand="0" w:noVBand="1" w:val="04A0"/>
      </w:tblPr>
      <w:tblGrid>
        <w:gridCol w:w="700"/>
        <w:gridCol w:w="3000"/>
        <w:gridCol w:w="2600"/>
        <w:gridCol w:w="3060"/>
      </w:tblGrid>
      <w:tr>
        <w:trPr>
          <w:cantSplit/>
          <w:tblHeader w:val="true"/>
        </w:trPr>
        <w:tc>
          <w:tcPr>
            <w:tcW w:type="dxa" w:w="700"/>
            <w:vAlign w:val="center"/>
            <w:tcMar>
              <w:top w:w="60" w:type="dxa"/>
              <w:start w:w="70" w:type="dxa"/>
              <w:bottom w:w="60" w:type="dxa"/>
              <w:end w:w="70" w:type="dxa"/>
            </w:tcMar>
            <w:tcBorders>
              <w:top w:val="single" w:sz="4" w:space="0" w:color="B7B7B7"/>
              <w:start w:val="single" w:sz="4" w:space="0" w:color="B7B7B7"/>
              <w:bottom w:val="single" w:sz="4" w:space="0" w:color="B7B7B7"/>
              <w:end w:val="single" w:sz="4" w:space="0" w:color="B7B7B7"/>
              <w:insideH w:val="single" w:sz="4" w:space="0" w:color="B7B7B7"/>
              <w:insideV w:val="single" w:sz="4" w:space="0" w:color="B7B7B7"/>
            </w:tcBorders>
            <w:shd w:fill="D9EAF7"/>
          </w:tcPr>
          <w:p>
            <w:pPr>
              <w:keepLines/>
              <w:spacing w:before="0" w:after="0" w:line="240" w:lineRule="auto"/>
            </w:pPr>
            <w:r>
              <w:rPr>
                <w:rFonts w:ascii="Times New Roman" w:hAnsi="Times New Roman" w:eastAsia="Times New Roman" w:cs="Times New Roman"/>
                <w:b/>
                <w:color w:val="000000"/>
                <w:sz w:val="16"/>
              </w:rPr>
              <w:t>ID</w:t>
            </w:r>
          </w:p>
        </w:tc>
        <w:tc>
          <w:tcPr>
            <w:tcW w:type="dxa" w:w="3000"/>
            <w:vAlign w:val="center"/>
            <w:tcMar>
              <w:top w:w="60" w:type="dxa"/>
              <w:start w:w="70" w:type="dxa"/>
              <w:bottom w:w="60" w:type="dxa"/>
              <w:end w:w="70" w:type="dxa"/>
            </w:tcMar>
            <w:tcBorders>
              <w:top w:val="single" w:sz="4" w:space="0" w:color="B7B7B7"/>
              <w:start w:val="single" w:sz="4" w:space="0" w:color="B7B7B7"/>
              <w:bottom w:val="single" w:sz="4" w:space="0" w:color="B7B7B7"/>
              <w:end w:val="single" w:sz="4" w:space="0" w:color="B7B7B7"/>
              <w:insideH w:val="single" w:sz="4" w:space="0" w:color="B7B7B7"/>
              <w:insideV w:val="single" w:sz="4" w:space="0" w:color="B7B7B7"/>
            </w:tcBorders>
            <w:shd w:fill="D9EAF7"/>
          </w:tcPr>
          <w:p>
            <w:pPr>
              <w:keepLines/>
              <w:spacing w:before="0" w:after="0" w:line="240" w:lineRule="auto"/>
            </w:pPr>
            <w:r>
              <w:rPr>
                <w:rFonts w:ascii="Times New Roman" w:hAnsi="Times New Roman" w:eastAsia="Times New Roman" w:cs="Times New Roman"/>
                <w:b/>
                <w:color w:val="000000"/>
                <w:sz w:val="16"/>
              </w:rPr>
              <w:t>Analysis population and settings</w:t>
            </w:r>
          </w:p>
        </w:tc>
        <w:tc>
          <w:tcPr>
            <w:tcW w:type="dxa" w:w="2600"/>
            <w:vAlign w:val="center"/>
            <w:tcMar>
              <w:top w:w="60" w:type="dxa"/>
              <w:start w:w="70" w:type="dxa"/>
              <w:bottom w:w="60" w:type="dxa"/>
              <w:end w:w="70" w:type="dxa"/>
            </w:tcMar>
            <w:tcBorders>
              <w:top w:val="single" w:sz="4" w:space="0" w:color="B7B7B7"/>
              <w:start w:val="single" w:sz="4" w:space="0" w:color="B7B7B7"/>
              <w:bottom w:val="single" w:sz="4" w:space="0" w:color="B7B7B7"/>
              <w:end w:val="single" w:sz="4" w:space="0" w:color="B7B7B7"/>
              <w:insideH w:val="single" w:sz="4" w:space="0" w:color="B7B7B7"/>
              <w:insideV w:val="single" w:sz="4" w:space="0" w:color="B7B7B7"/>
            </w:tcBorders>
            <w:shd w:fill="D9EAF7"/>
          </w:tcPr>
          <w:p>
            <w:pPr>
              <w:keepLines/>
              <w:spacing w:before="0" w:after="0" w:line="240" w:lineRule="auto"/>
            </w:pPr>
            <w:r>
              <w:rPr>
                <w:rFonts w:ascii="Times New Roman" w:hAnsi="Times New Roman" w:eastAsia="Times New Roman" w:cs="Times New Roman"/>
                <w:b/>
                <w:color w:val="000000"/>
                <w:sz w:val="16"/>
              </w:rPr>
              <w:t>Result</w:t>
            </w:r>
          </w:p>
        </w:tc>
        <w:tc>
          <w:tcPr>
            <w:tcW w:type="dxa" w:w="3060"/>
            <w:vAlign w:val="center"/>
            <w:tcMar>
              <w:top w:w="60" w:type="dxa"/>
              <w:start w:w="70" w:type="dxa"/>
              <w:bottom w:w="60" w:type="dxa"/>
              <w:end w:w="70" w:type="dxa"/>
            </w:tcMar>
            <w:tcBorders>
              <w:top w:val="single" w:sz="4" w:space="0" w:color="B7B7B7"/>
              <w:start w:val="single" w:sz="4" w:space="0" w:color="B7B7B7"/>
              <w:bottom w:val="single" w:sz="4" w:space="0" w:color="B7B7B7"/>
              <w:end w:val="single" w:sz="4" w:space="0" w:color="B7B7B7"/>
              <w:insideH w:val="single" w:sz="4" w:space="0" w:color="B7B7B7"/>
              <w:insideV w:val="single" w:sz="4" w:space="0" w:color="B7B7B7"/>
            </w:tcBorders>
            <w:shd w:fill="D9EAF7"/>
          </w:tcPr>
          <w:p>
            <w:pPr>
              <w:keepLines/>
              <w:spacing w:before="0" w:after="0" w:line="240" w:lineRule="auto"/>
            </w:pPr>
            <w:r>
              <w:rPr>
                <w:rFonts w:ascii="Times New Roman" w:hAnsi="Times New Roman" w:eastAsia="Times New Roman" w:cs="Times New Roman"/>
                <w:b/>
                <w:color w:val="000000"/>
                <w:sz w:val="16"/>
              </w:rPr>
              <w:t>Interpretation/status</w:t>
            </w:r>
          </w:p>
        </w:tc>
      </w:tr>
      <w:tr>
        <w:trPr>
          <w:cantSplit/>
        </w:trPr>
        <w:tc>
          <w:tcPr>
            <w:tcW w:type="dxa" w:w="700"/>
            <w:vAlign w:val="center"/>
            <w:tcMar>
              <w:top w:w="60" w:type="dxa"/>
              <w:start w:w="70" w:type="dxa"/>
              <w:bottom w:w="60" w:type="dxa"/>
              <w:end w:w="70" w:type="dxa"/>
            </w:tcMar>
            <w:tcBorders>
              <w:top w:val="single" w:sz="4" w:space="0" w:color="B7B7B7"/>
              <w:start w:val="single" w:sz="4" w:space="0" w:color="B7B7B7"/>
              <w:bottom w:val="single" w:sz="4" w:space="0" w:color="B7B7B7"/>
              <w:end w:val="single" w:sz="4" w:space="0" w:color="B7B7B7"/>
              <w:insideH w:val="single" w:sz="4" w:space="0" w:color="B7B7B7"/>
              <w:insideV w:val="single" w:sz="4" w:space="0" w:color="B7B7B7"/>
            </w:tcBorders>
          </w:tcPr>
          <w:p>
            <w:pPr>
              <w:keepLines/>
              <w:spacing w:before="0" w:after="0" w:line="240" w:lineRule="auto"/>
            </w:pPr>
            <w:r>
              <w:rPr>
                <w:rFonts w:ascii="Times New Roman" w:hAnsi="Times New Roman" w:eastAsia="Times New Roman" w:cs="Times New Roman"/>
                <w:color w:val="000000"/>
                <w:sz w:val="16"/>
              </w:rPr>
              <w:t>C1</w:t>
            </w:r>
          </w:p>
        </w:tc>
        <w:tc>
          <w:tcPr>
            <w:tcW w:type="dxa" w:w="3000"/>
            <w:vAlign w:val="center"/>
            <w:tcMar>
              <w:top w:w="60" w:type="dxa"/>
              <w:start w:w="70" w:type="dxa"/>
              <w:bottom w:w="60" w:type="dxa"/>
              <w:end w:w="70" w:type="dxa"/>
            </w:tcMar>
            <w:tcBorders>
              <w:top w:val="single" w:sz="4" w:space="0" w:color="B7B7B7"/>
              <w:start w:val="single" w:sz="4" w:space="0" w:color="B7B7B7"/>
              <w:bottom w:val="single" w:sz="4" w:space="0" w:color="B7B7B7"/>
              <w:end w:val="single" w:sz="4" w:space="0" w:color="B7B7B7"/>
              <w:insideH w:val="single" w:sz="4" w:space="0" w:color="B7B7B7"/>
              <w:insideV w:val="single" w:sz="4" w:space="0" w:color="B7B7B7"/>
            </w:tcBorders>
          </w:tcPr>
          <w:p>
            <w:pPr>
              <w:keepLines/>
              <w:spacing w:before="0" w:after="0" w:line="240" w:lineRule="auto"/>
            </w:pPr>
            <w:r>
              <w:rPr>
                <w:rFonts w:ascii="Times New Roman" w:hAnsi="Times New Roman" w:eastAsia="Times New Roman" w:cs="Times New Roman"/>
                <w:color w:val="000000"/>
                <w:sz w:val="16"/>
              </w:rPr>
              <w:t>DC; five families x 32 seeds (</w:t>
            </w:r>
            <w:r>
              <w:rPr>
                <w:rFonts w:ascii="Times New Roman" w:hAnsi="Times New Roman" w:eastAsia="Times New Roman" w:cs="Times New Roman"/>
                <w:color w:val="000000"/>
                <w:sz w:val="16"/>
              </w:rPr>
              <w:t>n=160</w:t>
            </w:r>
            <w:r>
              <w:rPr>
                <w:rFonts w:ascii="Times New Roman" w:hAnsi="Times New Roman" w:eastAsia="Times New Roman" w:cs="Times New Roman"/>
                <w:color w:val="000000"/>
                <w:sz w:val="16"/>
              </w:rPr>
              <w:t>); 48 wells; SPADE R5 vs qLogNEI R10; noise 0.25</w:t>
            </w:r>
          </w:p>
        </w:tc>
        <w:tc>
          <w:tcPr>
            <w:tcW w:type="dxa" w:w="2600"/>
            <w:vAlign w:val="center"/>
            <w:tcMar>
              <w:top w:w="60" w:type="dxa"/>
              <w:start w:w="70" w:type="dxa"/>
              <w:bottom w:w="60" w:type="dxa"/>
              <w:end w:w="70" w:type="dxa"/>
            </w:tcMar>
            <w:tcBorders>
              <w:top w:val="single" w:sz="4" w:space="0" w:color="B7B7B7"/>
              <w:start w:val="single" w:sz="4" w:space="0" w:color="B7B7B7"/>
              <w:bottom w:val="single" w:sz="4" w:space="0" w:color="B7B7B7"/>
              <w:end w:val="single" w:sz="4" w:space="0" w:color="B7B7B7"/>
              <w:insideH w:val="single" w:sz="4" w:space="0" w:color="B7B7B7"/>
              <w:insideV w:val="single" w:sz="4" w:space="0" w:color="B7B7B7"/>
            </w:tcBorders>
          </w:tcPr>
          <w:p>
            <w:pPr>
              <w:keepLines/>
              <w:spacing w:before="0" w:after="0" w:line="240" w:lineRule="auto"/>
            </w:pPr>
            <w:r>
              <w:rPr>
                <w:rFonts w:ascii="Times New Roman" w:hAnsi="Times New Roman" w:eastAsia="Times New Roman" w:cs="Times New Roman"/>
                <w:color w:val="000000"/>
                <w:sz w:val="16"/>
              </w:rPr>
              <w:t xml:space="preserve">Regret </w:t>
            </w:r>
            <w:r>
              <w:rPr>
                <w:rFonts w:ascii="Times New Roman" w:hAnsi="Times New Roman" w:eastAsia="Times New Roman" w:cs="Times New Roman"/>
                <w:color w:val="000000"/>
                <w:sz w:val="16"/>
              </w:rPr>
              <w:t>-0.0005</w:t>
            </w:r>
            <w:r>
              <w:rPr>
                <w:rFonts w:ascii="Times New Roman" w:hAnsi="Times New Roman" w:eastAsia="Times New Roman" w:cs="Times New Roman"/>
                <w:color w:val="000000"/>
                <w:sz w:val="16"/>
              </w:rPr>
              <w:t xml:space="preserve">, 95% CI </w:t>
            </w:r>
            <w:r>
              <w:rPr>
                <w:rFonts w:ascii="Times New Roman" w:hAnsi="Times New Roman" w:eastAsia="Times New Roman" w:cs="Times New Roman"/>
                <w:color w:val="000000"/>
                <w:sz w:val="16"/>
              </w:rPr>
              <w:t>[-0.0221,0.0207]</w:t>
            </w:r>
            <w:r>
              <w:rPr>
                <w:rFonts w:ascii="Times New Roman" w:hAnsi="Times New Roman" w:eastAsia="Times New Roman" w:cs="Times New Roman"/>
                <w:color w:val="000000"/>
                <w:sz w:val="16"/>
              </w:rPr>
              <w:t xml:space="preserve">, </w:t>
            </w:r>
            <w:r>
              <w:rPr>
                <w:rFonts w:ascii="Times New Roman" w:hAnsi="Times New Roman" w:eastAsia="Times New Roman" w:cs="Times New Roman"/>
                <w:color w:val="000000"/>
                <w:sz w:val="16"/>
              </w:rPr>
              <w:t>p=0.96</w:t>
            </w:r>
          </w:p>
        </w:tc>
        <w:tc>
          <w:tcPr>
            <w:tcW w:type="dxa" w:w="3060"/>
            <w:vAlign w:val="center"/>
            <w:tcMar>
              <w:top w:w="60" w:type="dxa"/>
              <w:start w:w="70" w:type="dxa"/>
              <w:bottom w:w="60" w:type="dxa"/>
              <w:end w:w="70" w:type="dxa"/>
            </w:tcMar>
            <w:tcBorders>
              <w:top w:val="single" w:sz="4" w:space="0" w:color="B7B7B7"/>
              <w:start w:val="single" w:sz="4" w:space="0" w:color="B7B7B7"/>
              <w:bottom w:val="single" w:sz="4" w:space="0" w:color="B7B7B7"/>
              <w:end w:val="single" w:sz="4" w:space="0" w:color="B7B7B7"/>
              <w:insideH w:val="single" w:sz="4" w:space="0" w:color="B7B7B7"/>
              <w:insideV w:val="single" w:sz="4" w:space="0" w:color="B7B7B7"/>
            </w:tcBorders>
          </w:tcPr>
          <w:p>
            <w:pPr>
              <w:keepLines/>
              <w:spacing w:before="0" w:after="0" w:line="240" w:lineRule="auto"/>
            </w:pPr>
            <w:r>
              <w:rPr>
                <w:rFonts w:ascii="Times New Roman" w:hAnsi="Times New Roman" w:eastAsia="Times New Roman" w:cs="Times New Roman"/>
                <w:color w:val="000000"/>
                <w:sz w:val="16"/>
              </w:rPr>
              <w:t>No detectable difference; not equivalence.</w:t>
            </w:r>
          </w:p>
        </w:tc>
      </w:tr>
      <w:tr>
        <w:trPr>
          <w:cantSplit/>
        </w:trPr>
        <w:tc>
          <w:tcPr>
            <w:tcW w:type="dxa" w:w="700"/>
            <w:vAlign w:val="center"/>
            <w:tcMar>
              <w:top w:w="60" w:type="dxa"/>
              <w:start w:w="70" w:type="dxa"/>
              <w:bottom w:w="60" w:type="dxa"/>
              <w:end w:w="70" w:type="dxa"/>
            </w:tcMar>
            <w:tcBorders>
              <w:top w:val="single" w:sz="4" w:space="0" w:color="B7B7B7"/>
              <w:start w:val="single" w:sz="4" w:space="0" w:color="B7B7B7"/>
              <w:bottom w:val="single" w:sz="4" w:space="0" w:color="B7B7B7"/>
              <w:end w:val="single" w:sz="4" w:space="0" w:color="B7B7B7"/>
              <w:insideH w:val="single" w:sz="4" w:space="0" w:color="B7B7B7"/>
              <w:insideV w:val="single" w:sz="4" w:space="0" w:color="B7B7B7"/>
            </w:tcBorders>
          </w:tcPr>
          <w:p>
            <w:pPr>
              <w:keepLines/>
              <w:spacing w:before="0" w:after="0" w:line="240" w:lineRule="auto"/>
            </w:pPr>
            <w:r>
              <w:rPr>
                <w:rFonts w:ascii="Times New Roman" w:hAnsi="Times New Roman" w:eastAsia="Times New Roman" w:cs="Times New Roman"/>
                <w:color w:val="000000"/>
                <w:sz w:val="16"/>
              </w:rPr>
              <w:t>C2</w:t>
            </w:r>
          </w:p>
        </w:tc>
        <w:tc>
          <w:tcPr>
            <w:tcW w:type="dxa" w:w="3000"/>
            <w:vAlign w:val="center"/>
            <w:tcMar>
              <w:top w:w="60" w:type="dxa"/>
              <w:start w:w="70" w:type="dxa"/>
              <w:bottom w:w="60" w:type="dxa"/>
              <w:end w:w="70" w:type="dxa"/>
            </w:tcMar>
            <w:tcBorders>
              <w:top w:val="single" w:sz="4" w:space="0" w:color="B7B7B7"/>
              <w:start w:val="single" w:sz="4" w:space="0" w:color="B7B7B7"/>
              <w:bottom w:val="single" w:sz="4" w:space="0" w:color="B7B7B7"/>
              <w:end w:val="single" w:sz="4" w:space="0" w:color="B7B7B7"/>
              <w:insideH w:val="single" w:sz="4" w:space="0" w:color="B7B7B7"/>
              <w:insideV w:val="single" w:sz="4" w:space="0" w:color="B7B7B7"/>
            </w:tcBorders>
          </w:tcPr>
          <w:p>
            <w:pPr>
              <w:keepLines/>
              <w:spacing w:before="0" w:after="0" w:line="240" w:lineRule="auto"/>
            </w:pPr>
            <w:r>
              <w:rPr>
                <w:rFonts w:ascii="Times New Roman" w:hAnsi="Times New Roman" w:eastAsia="Times New Roman" w:cs="Times New Roman"/>
                <w:color w:val="000000"/>
                <w:sz w:val="16"/>
              </w:rPr>
              <w:t xml:space="preserve">DC, prevalence 0.30; five families x 32 seeds (160 eligible/arm); 48 wells; noise 0.25; </w:t>
            </w:r>
            <w:r>
              <w:rPr>
                <w:rFonts w:ascii="Times New Roman" w:hAnsi="Times New Roman" w:eastAsia="Times New Roman" w:cs="Times New Roman"/>
                <w:color w:val="000000"/>
                <w:sz w:val="16"/>
              </w:rPr>
              <w:t>alpha=0.95</w:t>
            </w:r>
            <w:r>
              <w:rPr>
                <w:rFonts w:ascii="Times New Roman" w:hAnsi="Times New Roman" w:eastAsia="Times New Roman" w:cs="Times New Roman"/>
                <w:color w:val="000000"/>
                <w:sz w:val="16"/>
              </w:rPr>
              <w:t xml:space="preserve">; SPADE R5 selected </w:t>
            </w:r>
            <w:r>
              <w:rPr>
                <w:rFonts w:ascii="Times New Roman" w:hAnsi="Times New Roman" w:eastAsia="Times New Roman" w:cs="Times New Roman"/>
                <w:color w:val="000000"/>
                <w:sz w:val="16"/>
              </w:rPr>
              <w:t>c=1</w:t>
            </w:r>
            <w:r>
              <w:rPr>
                <w:rFonts w:ascii="Times New Roman" w:hAnsi="Times New Roman" w:eastAsia="Times New Roman" w:cs="Times New Roman"/>
                <w:color w:val="000000"/>
                <w:sz w:val="16"/>
              </w:rPr>
              <w:t xml:space="preserve">; neither DoE R3 arm passed at any tested inflation, so DoE uses baseline/fallback </w:t>
            </w:r>
            <w:r>
              <w:rPr>
                <w:rFonts w:ascii="Times New Roman" w:hAnsi="Times New Roman" w:eastAsia="Times New Roman" w:cs="Times New Roman"/>
                <w:color w:val="000000"/>
                <w:sz w:val="16"/>
              </w:rPr>
              <w:t>c=1</w:t>
            </w:r>
          </w:p>
        </w:tc>
        <w:tc>
          <w:tcPr>
            <w:tcW w:type="dxa" w:w="2600"/>
            <w:vAlign w:val="center"/>
            <w:tcMar>
              <w:top w:w="60" w:type="dxa"/>
              <w:start w:w="70" w:type="dxa"/>
              <w:bottom w:w="60" w:type="dxa"/>
              <w:end w:w="70" w:type="dxa"/>
            </w:tcMar>
            <w:tcBorders>
              <w:top w:val="single" w:sz="4" w:space="0" w:color="B7B7B7"/>
              <w:start w:val="single" w:sz="4" w:space="0" w:color="B7B7B7"/>
              <w:bottom w:val="single" w:sz="4" w:space="0" w:color="B7B7B7"/>
              <w:end w:val="single" w:sz="4" w:space="0" w:color="B7B7B7"/>
              <w:insideH w:val="single" w:sz="4" w:space="0" w:color="B7B7B7"/>
              <w:insideV w:val="single" w:sz="4" w:space="0" w:color="B7B7B7"/>
            </w:tcBorders>
          </w:tcPr>
          <w:p>
            <w:pPr>
              <w:keepLines/>
              <w:spacing w:before="0" w:after="0" w:line="240" w:lineRule="auto"/>
            </w:pPr>
            <w:r>
              <w:rPr>
                <w:rFonts w:ascii="Times New Roman" w:hAnsi="Times New Roman" w:eastAsia="Times New Roman" w:cs="Times New Roman"/>
                <w:color w:val="000000"/>
                <w:sz w:val="16"/>
              </w:rPr>
              <w:t xml:space="preserve">SPADE 66/160 answered, 66/66 contained, </w:t>
            </w:r>
            <w:r>
              <w:rPr>
                <w:rFonts w:ascii="Times New Roman" w:hAnsi="Times New Roman" w:eastAsia="Times New Roman" w:cs="Times New Roman"/>
                <w:color w:val="000000"/>
                <w:sz w:val="16"/>
              </w:rPr>
              <w:t>1.0000</w:t>
            </w:r>
            <w:r>
              <w:rPr>
                <w:rFonts w:ascii="Times New Roman" w:hAnsi="Times New Roman" w:eastAsia="Times New Roman" w:cs="Times New Roman"/>
                <w:color w:val="000000"/>
                <w:sz w:val="16"/>
              </w:rPr>
              <w:t xml:space="preserve">, LB </w:t>
            </w:r>
            <w:r>
              <w:rPr>
                <w:rFonts w:ascii="Times New Roman" w:hAnsi="Times New Roman" w:eastAsia="Times New Roman" w:cs="Times New Roman"/>
                <w:color w:val="000000"/>
                <w:sz w:val="16"/>
              </w:rPr>
              <w:t>0.9556</w:t>
            </w:r>
            <w:r>
              <w:rPr>
                <w:rFonts w:ascii="Times New Roman" w:hAnsi="Times New Roman" w:eastAsia="Times New Roman" w:cs="Times New Roman"/>
                <w:color w:val="000000"/>
                <w:sz w:val="16"/>
              </w:rPr>
              <w:t xml:space="preserve">; screened DoE 122/160 answered, 85/122 contained, </w:t>
            </w:r>
            <w:r>
              <w:rPr>
                <w:rFonts w:ascii="Times New Roman" w:hAnsi="Times New Roman" w:eastAsia="Times New Roman" w:cs="Times New Roman"/>
                <w:color w:val="000000"/>
                <w:sz w:val="16"/>
              </w:rPr>
              <w:t>0.6967</w:t>
            </w:r>
            <w:r>
              <w:rPr>
                <w:rFonts w:ascii="Times New Roman" w:hAnsi="Times New Roman" w:eastAsia="Times New Roman" w:cs="Times New Roman"/>
                <w:color w:val="000000"/>
                <w:sz w:val="16"/>
              </w:rPr>
              <w:t xml:space="preserve">; unscreened DoE 134/160 answered, 77/134 contained, </w:t>
            </w:r>
            <w:r>
              <w:rPr>
                <w:rFonts w:ascii="Times New Roman" w:hAnsi="Times New Roman" w:eastAsia="Times New Roman" w:cs="Times New Roman"/>
                <w:color w:val="000000"/>
                <w:sz w:val="16"/>
              </w:rPr>
              <w:t>0.5746</w:t>
            </w:r>
          </w:p>
        </w:tc>
        <w:tc>
          <w:tcPr>
            <w:tcW w:type="dxa" w:w="3060"/>
            <w:vAlign w:val="center"/>
            <w:tcMar>
              <w:top w:w="60" w:type="dxa"/>
              <w:start w:w="70" w:type="dxa"/>
              <w:bottom w:w="60" w:type="dxa"/>
              <w:end w:w="70" w:type="dxa"/>
            </w:tcMar>
            <w:tcBorders>
              <w:top w:val="single" w:sz="4" w:space="0" w:color="B7B7B7"/>
              <w:start w:val="single" w:sz="4" w:space="0" w:color="B7B7B7"/>
              <w:bottom w:val="single" w:sz="4" w:space="0" w:color="B7B7B7"/>
              <w:end w:val="single" w:sz="4" w:space="0" w:color="B7B7B7"/>
              <w:insideH w:val="single" w:sz="4" w:space="0" w:color="B7B7B7"/>
              <w:insideV w:val="single" w:sz="4" w:space="0" w:color="B7B7B7"/>
            </w:tcBorders>
          </w:tcPr>
          <w:p>
            <w:pPr>
              <w:keepLines/>
              <w:spacing w:before="0" w:after="0" w:line="240" w:lineRule="auto"/>
            </w:pPr>
            <w:r>
              <w:rPr>
                <w:rFonts w:ascii="Times New Roman" w:hAnsi="Times New Roman" w:eastAsia="Times New Roman" w:cs="Times New Roman"/>
                <w:color w:val="000000"/>
                <w:sz w:val="16"/>
              </w:rPr>
              <w:t>Perfect observed SPADE containment among answers; low observed conditional DoE containment despite frequent answers.</w:t>
            </w:r>
          </w:p>
        </w:tc>
      </w:tr>
      <w:tr>
        <w:trPr>
          <w:cantSplit/>
        </w:trPr>
        <w:tc>
          <w:tcPr>
            <w:tcW w:type="dxa" w:w="700"/>
            <w:vAlign w:val="center"/>
            <w:tcMar>
              <w:top w:w="60" w:type="dxa"/>
              <w:start w:w="70" w:type="dxa"/>
              <w:bottom w:w="60" w:type="dxa"/>
              <w:end w:w="70" w:type="dxa"/>
            </w:tcMar>
            <w:tcBorders>
              <w:top w:val="single" w:sz="4" w:space="0" w:color="B7B7B7"/>
              <w:start w:val="single" w:sz="4" w:space="0" w:color="B7B7B7"/>
              <w:bottom w:val="single" w:sz="4" w:space="0" w:color="B7B7B7"/>
              <w:end w:val="single" w:sz="4" w:space="0" w:color="B7B7B7"/>
              <w:insideH w:val="single" w:sz="4" w:space="0" w:color="B7B7B7"/>
              <w:insideV w:val="single" w:sz="4" w:space="0" w:color="B7B7B7"/>
            </w:tcBorders>
          </w:tcPr>
          <w:p>
            <w:pPr>
              <w:keepLines/>
              <w:spacing w:before="0" w:after="0" w:line="240" w:lineRule="auto"/>
            </w:pPr>
            <w:r>
              <w:rPr>
                <w:rFonts w:ascii="Times New Roman" w:hAnsi="Times New Roman" w:eastAsia="Times New Roman" w:cs="Times New Roman"/>
                <w:color w:val="000000"/>
                <w:sz w:val="16"/>
              </w:rPr>
              <w:t>C2 adverse</w:t>
            </w:r>
          </w:p>
        </w:tc>
        <w:tc>
          <w:tcPr>
            <w:tcW w:type="dxa" w:w="3000"/>
            <w:vAlign w:val="center"/>
            <w:tcMar>
              <w:top w:w="60" w:type="dxa"/>
              <w:start w:w="70" w:type="dxa"/>
              <w:bottom w:w="60" w:type="dxa"/>
              <w:end w:w="70" w:type="dxa"/>
            </w:tcMar>
            <w:tcBorders>
              <w:top w:val="single" w:sz="4" w:space="0" w:color="B7B7B7"/>
              <w:start w:val="single" w:sz="4" w:space="0" w:color="B7B7B7"/>
              <w:bottom w:val="single" w:sz="4" w:space="0" w:color="B7B7B7"/>
              <w:end w:val="single" w:sz="4" w:space="0" w:color="B7B7B7"/>
              <w:insideH w:val="single" w:sz="4" w:space="0" w:color="B7B7B7"/>
              <w:insideV w:val="single" w:sz="4" w:space="0" w:color="B7B7B7"/>
            </w:tcBorders>
          </w:tcPr>
          <w:p>
            <w:pPr>
              <w:keepLines/>
              <w:spacing w:before="0" w:after="0" w:line="240" w:lineRule="auto"/>
            </w:pPr>
            <w:r>
              <w:rPr>
                <w:rFonts w:ascii="Times New Roman" w:hAnsi="Times New Roman" w:eastAsia="Times New Roman" w:cs="Times New Roman"/>
                <w:color w:val="000000"/>
                <w:sz w:val="16"/>
              </w:rPr>
              <w:t>DC; five families x 32 seeds (</w:t>
            </w:r>
            <w:r>
              <w:rPr>
                <w:rFonts w:ascii="Times New Roman" w:hAnsi="Times New Roman" w:eastAsia="Times New Roman" w:cs="Times New Roman"/>
                <w:color w:val="000000"/>
                <w:sz w:val="16"/>
              </w:rPr>
              <w:t>n=160</w:t>
            </w:r>
            <w:r>
              <w:rPr>
                <w:rFonts w:ascii="Times New Roman" w:hAnsi="Times New Roman" w:eastAsia="Times New Roman" w:cs="Times New Roman"/>
                <w:color w:val="000000"/>
                <w:sz w:val="16"/>
              </w:rPr>
              <w:t>); 48 wells; SPADE R5 vs screened DoE R3; noise 0.25</w:t>
            </w:r>
          </w:p>
        </w:tc>
        <w:tc>
          <w:tcPr>
            <w:tcW w:type="dxa" w:w="2600"/>
            <w:vAlign w:val="center"/>
            <w:tcMar>
              <w:top w:w="60" w:type="dxa"/>
              <w:start w:w="70" w:type="dxa"/>
              <w:bottom w:w="60" w:type="dxa"/>
              <w:end w:w="70" w:type="dxa"/>
            </w:tcMar>
            <w:tcBorders>
              <w:top w:val="single" w:sz="4" w:space="0" w:color="B7B7B7"/>
              <w:start w:val="single" w:sz="4" w:space="0" w:color="B7B7B7"/>
              <w:bottom w:val="single" w:sz="4" w:space="0" w:color="B7B7B7"/>
              <w:end w:val="single" w:sz="4" w:space="0" w:color="B7B7B7"/>
              <w:insideH w:val="single" w:sz="4" w:space="0" w:color="B7B7B7"/>
              <w:insideV w:val="single" w:sz="4" w:space="0" w:color="B7B7B7"/>
            </w:tcBorders>
          </w:tcPr>
          <w:p>
            <w:pPr>
              <w:keepLines/>
              <w:spacing w:before="0" w:after="0" w:line="240" w:lineRule="auto"/>
            </w:pPr>
            <w:r>
              <w:rPr>
                <w:rFonts w:ascii="Times New Roman" w:hAnsi="Times New Roman" w:eastAsia="Times New Roman" w:cs="Times New Roman"/>
                <w:color w:val="000000"/>
                <w:sz w:val="16"/>
              </w:rPr>
              <w:t xml:space="preserve">SPADE-minus-DoE regret </w:t>
            </w:r>
            <w:r>
              <w:rPr>
                <w:rFonts w:ascii="Times New Roman" w:hAnsi="Times New Roman" w:eastAsia="Times New Roman" w:cs="Times New Roman"/>
                <w:color w:val="000000"/>
                <w:sz w:val="16"/>
              </w:rPr>
              <w:t>+0.1026</w:t>
            </w:r>
            <w:r>
              <w:rPr>
                <w:rFonts w:ascii="Times New Roman" w:hAnsi="Times New Roman" w:eastAsia="Times New Roman" w:cs="Times New Roman"/>
                <w:color w:val="000000"/>
                <w:sz w:val="16"/>
              </w:rPr>
              <w:t xml:space="preserve">, 95% CI </w:t>
            </w:r>
            <w:r>
              <w:rPr>
                <w:rFonts w:ascii="Times New Roman" w:hAnsi="Times New Roman" w:eastAsia="Times New Roman" w:cs="Times New Roman"/>
                <w:color w:val="000000"/>
                <w:sz w:val="16"/>
              </w:rPr>
              <w:t>[+0.0486,+0.1578]</w:t>
            </w:r>
            <w:r>
              <w:rPr>
                <w:rFonts w:ascii="Times New Roman" w:hAnsi="Times New Roman" w:eastAsia="Times New Roman" w:cs="Times New Roman"/>
                <w:color w:val="000000"/>
                <w:sz w:val="16"/>
              </w:rPr>
              <w:t xml:space="preserve">, </w:t>
            </w:r>
            <w:r>
              <w:rPr>
                <w:rFonts w:ascii="Times New Roman" w:hAnsi="Times New Roman" w:eastAsia="Times New Roman" w:cs="Times New Roman"/>
                <w:color w:val="000000"/>
                <w:sz w:val="16"/>
              </w:rPr>
              <w:t>p=0.0003</w:t>
            </w:r>
          </w:p>
        </w:tc>
        <w:tc>
          <w:tcPr>
            <w:tcW w:type="dxa" w:w="3060"/>
            <w:vAlign w:val="center"/>
            <w:tcMar>
              <w:top w:w="60" w:type="dxa"/>
              <w:start w:w="70" w:type="dxa"/>
              <w:bottom w:w="60" w:type="dxa"/>
              <w:end w:w="70" w:type="dxa"/>
            </w:tcMar>
            <w:tcBorders>
              <w:top w:val="single" w:sz="4" w:space="0" w:color="B7B7B7"/>
              <w:start w:val="single" w:sz="4" w:space="0" w:color="B7B7B7"/>
              <w:bottom w:val="single" w:sz="4" w:space="0" w:color="B7B7B7"/>
              <w:end w:val="single" w:sz="4" w:space="0" w:color="B7B7B7"/>
              <w:insideH w:val="single" w:sz="4" w:space="0" w:color="B7B7B7"/>
              <w:insideV w:val="single" w:sz="4" w:space="0" w:color="B7B7B7"/>
            </w:tcBorders>
          </w:tcPr>
          <w:p>
            <w:pPr>
              <w:keepLines/>
              <w:spacing w:before="0" w:after="0" w:line="240" w:lineRule="auto"/>
            </w:pPr>
            <w:r>
              <w:rPr>
                <w:rFonts w:ascii="Times New Roman" w:hAnsi="Times New Roman" w:eastAsia="Times New Roman" w:cs="Times New Roman"/>
                <w:color w:val="000000"/>
                <w:sz w:val="16"/>
              </w:rPr>
              <w:t>DoE found the better point recipe with fewer rounds.</w:t>
            </w:r>
          </w:p>
        </w:tc>
      </w:tr>
      <w:tr>
        <w:trPr>
          <w:cantSplit/>
        </w:trPr>
        <w:tc>
          <w:tcPr>
            <w:tcW w:type="dxa" w:w="700"/>
            <w:vAlign w:val="center"/>
            <w:tcMar>
              <w:top w:w="60" w:type="dxa"/>
              <w:start w:w="70" w:type="dxa"/>
              <w:bottom w:w="60" w:type="dxa"/>
              <w:end w:w="70" w:type="dxa"/>
            </w:tcMar>
            <w:tcBorders>
              <w:top w:val="single" w:sz="4" w:space="0" w:color="B7B7B7"/>
              <w:start w:val="single" w:sz="4" w:space="0" w:color="B7B7B7"/>
              <w:bottom w:val="single" w:sz="4" w:space="0" w:color="B7B7B7"/>
              <w:end w:val="single" w:sz="4" w:space="0" w:color="B7B7B7"/>
              <w:insideH w:val="single" w:sz="4" w:space="0" w:color="B7B7B7"/>
              <w:insideV w:val="single" w:sz="4" w:space="0" w:color="B7B7B7"/>
            </w:tcBorders>
          </w:tcPr>
          <w:p>
            <w:pPr>
              <w:keepLines/>
              <w:spacing w:before="0" w:after="0" w:line="240" w:lineRule="auto"/>
            </w:pPr>
            <w:r>
              <w:rPr>
                <w:rFonts w:ascii="Times New Roman" w:hAnsi="Times New Roman" w:eastAsia="Times New Roman" w:cs="Times New Roman"/>
                <w:color w:val="000000"/>
                <w:sz w:val="16"/>
              </w:rPr>
              <w:t>C3</w:t>
            </w:r>
          </w:p>
        </w:tc>
        <w:tc>
          <w:tcPr>
            <w:tcW w:type="dxa" w:w="3000"/>
            <w:vAlign w:val="center"/>
            <w:tcMar>
              <w:top w:w="60" w:type="dxa"/>
              <w:start w:w="70" w:type="dxa"/>
              <w:bottom w:w="60" w:type="dxa"/>
              <w:end w:w="70" w:type="dxa"/>
            </w:tcMar>
            <w:tcBorders>
              <w:top w:val="single" w:sz="4" w:space="0" w:color="B7B7B7"/>
              <w:start w:val="single" w:sz="4" w:space="0" w:color="B7B7B7"/>
              <w:bottom w:val="single" w:sz="4" w:space="0" w:color="B7B7B7"/>
              <w:end w:val="single" w:sz="4" w:space="0" w:color="B7B7B7"/>
              <w:insideH w:val="single" w:sz="4" w:space="0" w:color="B7B7B7"/>
              <w:insideV w:val="single" w:sz="4" w:space="0" w:color="B7B7B7"/>
            </w:tcBorders>
          </w:tcPr>
          <w:p>
            <w:pPr>
              <w:keepLines/>
              <w:spacing w:before="0" w:after="0" w:line="240" w:lineRule="auto"/>
            </w:pPr>
            <w:r>
              <w:rPr>
                <w:rFonts w:ascii="Times New Roman" w:hAnsi="Times New Roman" w:eastAsia="Times New Roman" w:cs="Times New Roman"/>
                <w:color w:val="000000"/>
                <w:sz w:val="16"/>
              </w:rPr>
              <w:t>LC R5 vs R5; five families x 32 seeds x prevalences 0.30 and 0.10 (</w:t>
            </w:r>
            <w:r>
              <w:rPr>
                <w:rFonts w:ascii="Times New Roman" w:hAnsi="Times New Roman" w:eastAsia="Times New Roman" w:cs="Times New Roman"/>
                <w:color w:val="000000"/>
                <w:sz w:val="16"/>
              </w:rPr>
              <w:t>n=320</w:t>
            </w:r>
            <w:r>
              <w:rPr>
                <w:rFonts w:ascii="Times New Roman" w:hAnsi="Times New Roman" w:eastAsia="Times New Roman" w:cs="Times New Roman"/>
                <w:color w:val="000000"/>
                <w:sz w:val="16"/>
              </w:rPr>
              <w:t xml:space="preserve"> cells); 48 wells; noise 0.25; </w:t>
            </w:r>
            <w:r>
              <w:rPr>
                <w:rFonts w:ascii="Times New Roman" w:hAnsi="Times New Roman" w:eastAsia="Times New Roman" w:cs="Times New Roman"/>
                <w:color w:val="000000"/>
                <w:sz w:val="16"/>
              </w:rPr>
              <w:t>alpha=0.95</w:t>
            </w:r>
            <w:r>
              <w:rPr>
                <w:rFonts w:ascii="Times New Roman" w:hAnsi="Times New Roman" w:eastAsia="Times New Roman" w:cs="Times New Roman"/>
                <w:color w:val="000000"/>
                <w:sz w:val="16"/>
              </w:rPr>
              <w:t>; LOFO inflation</w:t>
            </w:r>
          </w:p>
        </w:tc>
        <w:tc>
          <w:tcPr>
            <w:tcW w:type="dxa" w:w="2600"/>
            <w:vAlign w:val="center"/>
            <w:tcMar>
              <w:top w:w="60" w:type="dxa"/>
              <w:start w:w="70" w:type="dxa"/>
              <w:bottom w:w="60" w:type="dxa"/>
              <w:end w:w="70" w:type="dxa"/>
            </w:tcMar>
            <w:tcBorders>
              <w:top w:val="single" w:sz="4" w:space="0" w:color="B7B7B7"/>
              <w:start w:val="single" w:sz="4" w:space="0" w:color="B7B7B7"/>
              <w:bottom w:val="single" w:sz="4" w:space="0" w:color="B7B7B7"/>
              <w:end w:val="single" w:sz="4" w:space="0" w:color="B7B7B7"/>
              <w:insideH w:val="single" w:sz="4" w:space="0" w:color="B7B7B7"/>
              <w:insideV w:val="single" w:sz="4" w:space="0" w:color="B7B7B7"/>
            </w:tcBorders>
          </w:tcPr>
          <w:p>
            <w:pPr>
              <w:keepLines/>
              <w:spacing w:before="0" w:after="0" w:line="240" w:lineRule="auto"/>
            </w:pPr>
            <w:r>
              <w:rPr>
                <w:rFonts w:ascii="Times New Roman" w:hAnsi="Times New Roman" w:eastAsia="Times New Roman" w:cs="Times New Roman"/>
                <w:color w:val="000000"/>
                <w:sz w:val="16"/>
              </w:rPr>
              <w:t xml:space="preserve">SPADE-minus-qLogNEI volume </w:t>
            </w:r>
            <w:r>
              <w:rPr>
                <w:rFonts w:ascii="Times New Roman" w:hAnsi="Times New Roman" w:eastAsia="Times New Roman" w:cs="Times New Roman"/>
                <w:color w:val="000000"/>
                <w:sz w:val="16"/>
              </w:rPr>
              <w:t>+0.000855</w:t>
            </w:r>
            <w:r>
              <w:rPr>
                <w:rFonts w:ascii="Times New Roman" w:hAnsi="Times New Roman" w:eastAsia="Times New Roman" w:cs="Times New Roman"/>
                <w:color w:val="000000"/>
                <w:sz w:val="16"/>
              </w:rPr>
              <w:t xml:space="preserve">, 95% CI </w:t>
            </w:r>
            <w:r>
              <w:rPr>
                <w:rFonts w:ascii="Times New Roman" w:hAnsi="Times New Roman" w:eastAsia="Times New Roman" w:cs="Times New Roman"/>
                <w:color w:val="000000"/>
                <w:sz w:val="16"/>
              </w:rPr>
              <w:t>[+0.000691,+0.001028]</w:t>
            </w:r>
            <w:r>
              <w:rPr>
                <w:rFonts w:ascii="Times New Roman" w:hAnsi="Times New Roman" w:eastAsia="Times New Roman" w:cs="Times New Roman"/>
                <w:color w:val="000000"/>
                <w:sz w:val="16"/>
              </w:rPr>
              <w:t xml:space="preserve">, </w:t>
            </w:r>
            <w:r>
              <w:rPr>
                <w:rFonts w:ascii="Times New Roman" w:hAnsi="Times New Roman" w:eastAsia="Times New Roman" w:cs="Times New Roman"/>
                <w:color w:val="000000"/>
                <w:sz w:val="16"/>
              </w:rPr>
              <w:t>p&lt;0.0001</w:t>
            </w:r>
          </w:p>
        </w:tc>
        <w:tc>
          <w:tcPr>
            <w:tcW w:type="dxa" w:w="3060"/>
            <w:vAlign w:val="center"/>
            <w:tcMar>
              <w:top w:w="60" w:type="dxa"/>
              <w:start w:w="70" w:type="dxa"/>
              <w:bottom w:w="60" w:type="dxa"/>
              <w:end w:w="70" w:type="dxa"/>
            </w:tcMar>
            <w:tcBorders>
              <w:top w:val="single" w:sz="4" w:space="0" w:color="B7B7B7"/>
              <w:start w:val="single" w:sz="4" w:space="0" w:color="B7B7B7"/>
              <w:bottom w:val="single" w:sz="4" w:space="0" w:color="B7B7B7"/>
              <w:end w:val="single" w:sz="4" w:space="0" w:color="B7B7B7"/>
              <w:insideH w:val="single" w:sz="4" w:space="0" w:color="B7B7B7"/>
              <w:insideV w:val="single" w:sz="4" w:space="0" w:color="B7B7B7"/>
            </w:tcBorders>
          </w:tcPr>
          <w:p>
            <w:pPr>
              <w:keepLines/>
              <w:spacing w:before="0" w:after="0" w:line="240" w:lineRule="auto"/>
            </w:pPr>
            <w:r>
              <w:rPr>
                <w:rFonts w:ascii="Times New Roman" w:hAnsi="Times New Roman" w:eastAsia="Times New Roman" w:cs="Times New Roman"/>
                <w:color w:val="000000"/>
                <w:sz w:val="16"/>
              </w:rPr>
              <w:t>Greater matched-round volume; conditional flat-cell bootstrap.</w:t>
            </w:r>
          </w:p>
        </w:tc>
      </w:tr>
      <w:tr>
        <w:trPr>
          <w:cantSplit/>
        </w:trPr>
        <w:tc>
          <w:tcPr>
            <w:tcW w:type="dxa" w:w="700"/>
            <w:vAlign w:val="center"/>
            <w:tcMar>
              <w:top w:w="60" w:type="dxa"/>
              <w:start w:w="70" w:type="dxa"/>
              <w:bottom w:w="60" w:type="dxa"/>
              <w:end w:w="70" w:type="dxa"/>
            </w:tcMar>
            <w:tcBorders>
              <w:top w:val="single" w:sz="4" w:space="0" w:color="B7B7B7"/>
              <w:start w:val="single" w:sz="4" w:space="0" w:color="B7B7B7"/>
              <w:bottom w:val="single" w:sz="4" w:space="0" w:color="B7B7B7"/>
              <w:end w:val="single" w:sz="4" w:space="0" w:color="B7B7B7"/>
              <w:insideH w:val="single" w:sz="4" w:space="0" w:color="B7B7B7"/>
              <w:insideV w:val="single" w:sz="4" w:space="0" w:color="B7B7B7"/>
            </w:tcBorders>
          </w:tcPr>
          <w:p>
            <w:pPr>
              <w:keepLines/>
              <w:spacing w:before="0" w:after="0" w:line="240" w:lineRule="auto"/>
            </w:pPr>
            <w:r>
              <w:rPr>
                <w:rFonts w:ascii="Times New Roman" w:hAnsi="Times New Roman" w:eastAsia="Times New Roman" w:cs="Times New Roman"/>
                <w:color w:val="000000"/>
                <w:sz w:val="16"/>
              </w:rPr>
              <w:t>C4</w:t>
            </w:r>
          </w:p>
        </w:tc>
        <w:tc>
          <w:tcPr>
            <w:tcW w:type="dxa" w:w="3000"/>
            <w:vAlign w:val="center"/>
            <w:tcMar>
              <w:top w:w="60" w:type="dxa"/>
              <w:start w:w="70" w:type="dxa"/>
              <w:bottom w:w="60" w:type="dxa"/>
              <w:end w:w="70" w:type="dxa"/>
            </w:tcMar>
            <w:tcBorders>
              <w:top w:val="single" w:sz="4" w:space="0" w:color="B7B7B7"/>
              <w:start w:val="single" w:sz="4" w:space="0" w:color="B7B7B7"/>
              <w:bottom w:val="single" w:sz="4" w:space="0" w:color="B7B7B7"/>
              <w:end w:val="single" w:sz="4" w:space="0" w:color="B7B7B7"/>
              <w:insideH w:val="single" w:sz="4" w:space="0" w:color="B7B7B7"/>
              <w:insideV w:val="single" w:sz="4" w:space="0" w:color="B7B7B7"/>
            </w:tcBorders>
          </w:tcPr>
          <w:p>
            <w:pPr>
              <w:keepLines/>
              <w:spacing w:before="0" w:after="0" w:line="240" w:lineRule="auto"/>
            </w:pPr>
            <w:r>
              <w:rPr>
                <w:rFonts w:ascii="Times New Roman" w:hAnsi="Times New Roman" w:eastAsia="Times New Roman" w:cs="Times New Roman"/>
                <w:color w:val="000000"/>
                <w:sz w:val="16"/>
              </w:rPr>
              <w:t>LC SPADE R3 vs LA LHS R1; four named families x 20 common seeds (</w:t>
            </w:r>
            <w:r>
              <w:rPr>
                <w:rFonts w:ascii="Times New Roman" w:hAnsi="Times New Roman" w:eastAsia="Times New Roman" w:cs="Times New Roman"/>
                <w:color w:val="000000"/>
                <w:sz w:val="16"/>
              </w:rPr>
              <w:t>4 x 20=80</w:t>
            </w:r>
            <w:r>
              <w:rPr>
                <w:rFonts w:ascii="Times New Roman" w:hAnsi="Times New Roman" w:eastAsia="Times New Roman" w:cs="Times New Roman"/>
                <w:color w:val="000000"/>
                <w:sz w:val="16"/>
              </w:rPr>
              <w:t>); 48 wells; noise 0.25</w:t>
            </w:r>
          </w:p>
        </w:tc>
        <w:tc>
          <w:tcPr>
            <w:tcW w:type="dxa" w:w="2600"/>
            <w:vAlign w:val="center"/>
            <w:tcMar>
              <w:top w:w="60" w:type="dxa"/>
              <w:start w:w="70" w:type="dxa"/>
              <w:bottom w:w="60" w:type="dxa"/>
              <w:end w:w="70" w:type="dxa"/>
            </w:tcMar>
            <w:tcBorders>
              <w:top w:val="single" w:sz="4" w:space="0" w:color="B7B7B7"/>
              <w:start w:val="single" w:sz="4" w:space="0" w:color="B7B7B7"/>
              <w:bottom w:val="single" w:sz="4" w:space="0" w:color="B7B7B7"/>
              <w:end w:val="single" w:sz="4" w:space="0" w:color="B7B7B7"/>
              <w:insideH w:val="single" w:sz="4" w:space="0" w:color="B7B7B7"/>
              <w:insideV w:val="single" w:sz="4" w:space="0" w:color="B7B7B7"/>
            </w:tcBorders>
          </w:tcPr>
          <w:p>
            <w:pPr>
              <w:keepLines/>
              <w:spacing w:before="0" w:after="0" w:line="240" w:lineRule="auto"/>
            </w:pPr>
            <w:r>
              <w:rPr>
                <w:rFonts w:ascii="Times New Roman" w:hAnsi="Times New Roman" w:eastAsia="Times New Roman" w:cs="Times New Roman"/>
                <w:color w:val="000000"/>
                <w:sz w:val="16"/>
              </w:rPr>
              <w:t xml:space="preserve">SPADE-minus-LHS regret </w:t>
            </w:r>
            <w:r>
              <w:rPr>
                <w:rFonts w:ascii="Times New Roman" w:hAnsi="Times New Roman" w:eastAsia="Times New Roman" w:cs="Times New Roman"/>
                <w:color w:val="000000"/>
                <w:sz w:val="16"/>
              </w:rPr>
              <w:t>-0.0783</w:t>
            </w:r>
            <w:r>
              <w:rPr>
                <w:rFonts w:ascii="Times New Roman" w:hAnsi="Times New Roman" w:eastAsia="Times New Roman" w:cs="Times New Roman"/>
                <w:color w:val="000000"/>
                <w:sz w:val="16"/>
              </w:rPr>
              <w:t xml:space="preserve">, 95% CI </w:t>
            </w:r>
            <w:r>
              <w:rPr>
                <w:rFonts w:ascii="Times New Roman" w:hAnsi="Times New Roman" w:eastAsia="Times New Roman" w:cs="Times New Roman"/>
                <w:color w:val="000000"/>
                <w:sz w:val="16"/>
              </w:rPr>
              <w:t>[-0.1104,-0.0490]</w:t>
            </w:r>
          </w:p>
        </w:tc>
        <w:tc>
          <w:tcPr>
            <w:tcW w:type="dxa" w:w="3060"/>
            <w:vAlign w:val="center"/>
            <w:tcMar>
              <w:top w:w="60" w:type="dxa"/>
              <w:start w:w="70" w:type="dxa"/>
              <w:bottom w:w="60" w:type="dxa"/>
              <w:end w:w="70" w:type="dxa"/>
            </w:tcMar>
            <w:tcBorders>
              <w:top w:val="single" w:sz="4" w:space="0" w:color="B7B7B7"/>
              <w:start w:val="single" w:sz="4" w:space="0" w:color="B7B7B7"/>
              <w:bottom w:val="single" w:sz="4" w:space="0" w:color="B7B7B7"/>
              <w:end w:val="single" w:sz="4" w:space="0" w:color="B7B7B7"/>
              <w:insideH w:val="single" w:sz="4" w:space="0" w:color="B7B7B7"/>
              <w:insideV w:val="single" w:sz="4" w:space="0" w:color="B7B7B7"/>
            </w:tcBorders>
          </w:tcPr>
          <w:p>
            <w:pPr>
              <w:keepLines/>
              <w:spacing w:before="0" w:after="0" w:line="240" w:lineRule="auto"/>
            </w:pPr>
            <w:r>
              <w:rPr>
                <w:rFonts w:ascii="Times New Roman" w:hAnsi="Times New Roman" w:eastAsia="Times New Roman" w:cs="Times New Roman"/>
                <w:color w:val="000000"/>
                <w:sz w:val="16"/>
              </w:rPr>
              <w:t>Lower regret than one-shot space filling.</w:t>
            </w:r>
          </w:p>
        </w:tc>
      </w:tr>
      <w:tr>
        <w:trPr>
          <w:cantSplit/>
        </w:trPr>
        <w:tc>
          <w:tcPr>
            <w:tcW w:type="dxa" w:w="700"/>
            <w:vAlign w:val="center"/>
            <w:tcMar>
              <w:top w:w="60" w:type="dxa"/>
              <w:start w:w="70" w:type="dxa"/>
              <w:bottom w:w="60" w:type="dxa"/>
              <w:end w:w="70" w:type="dxa"/>
            </w:tcMar>
            <w:tcBorders>
              <w:top w:val="single" w:sz="4" w:space="0" w:color="B7B7B7"/>
              <w:start w:val="single" w:sz="4" w:space="0" w:color="B7B7B7"/>
              <w:bottom w:val="single" w:sz="4" w:space="0" w:color="B7B7B7"/>
              <w:end w:val="single" w:sz="4" w:space="0" w:color="B7B7B7"/>
              <w:insideH w:val="single" w:sz="4" w:space="0" w:color="B7B7B7"/>
              <w:insideV w:val="single" w:sz="4" w:space="0" w:color="B7B7B7"/>
            </w:tcBorders>
          </w:tcPr>
          <w:p>
            <w:pPr>
              <w:keepLines/>
              <w:spacing w:before="0" w:after="0" w:line="240" w:lineRule="auto"/>
            </w:pPr>
            <w:r>
              <w:rPr>
                <w:rFonts w:ascii="Times New Roman" w:hAnsi="Times New Roman" w:eastAsia="Times New Roman" w:cs="Times New Roman"/>
                <w:color w:val="000000"/>
                <w:sz w:val="16"/>
              </w:rPr>
              <w:t>C5</w:t>
            </w:r>
          </w:p>
        </w:tc>
        <w:tc>
          <w:tcPr>
            <w:tcW w:type="dxa" w:w="3000"/>
            <w:vAlign w:val="center"/>
            <w:tcMar>
              <w:top w:w="60" w:type="dxa"/>
              <w:start w:w="70" w:type="dxa"/>
              <w:bottom w:w="60" w:type="dxa"/>
              <w:end w:w="70" w:type="dxa"/>
            </w:tcMar>
            <w:tcBorders>
              <w:top w:val="single" w:sz="4" w:space="0" w:color="B7B7B7"/>
              <w:start w:val="single" w:sz="4" w:space="0" w:color="B7B7B7"/>
              <w:bottom w:val="single" w:sz="4" w:space="0" w:color="B7B7B7"/>
              <w:end w:val="single" w:sz="4" w:space="0" w:color="B7B7B7"/>
              <w:insideH w:val="single" w:sz="4" w:space="0" w:color="B7B7B7"/>
              <w:insideV w:val="single" w:sz="4" w:space="0" w:color="B7B7B7"/>
            </w:tcBorders>
          </w:tcPr>
          <w:p>
            <w:pPr>
              <w:keepLines/>
              <w:spacing w:before="0" w:after="0" w:line="240" w:lineRule="auto"/>
            </w:pPr>
            <w:r>
              <w:rPr>
                <w:rFonts w:ascii="Times New Roman" w:hAnsi="Times New Roman" w:eastAsia="Times New Roman" w:cs="Times New Roman"/>
                <w:color w:val="000000"/>
                <w:sz w:val="16"/>
              </w:rPr>
              <w:t xml:space="preserve">TAU; five families x five prevalences; 64 seeds; SPADE R5; 48 wells; noise 0.25; </w:t>
            </w:r>
            <w:r>
              <w:rPr>
                <w:rFonts w:ascii="Times New Roman" w:hAnsi="Times New Roman" w:eastAsia="Times New Roman" w:cs="Times New Roman"/>
                <w:color w:val="000000"/>
                <w:sz w:val="16"/>
              </w:rPr>
              <w:t>alpha=0.95</w:t>
            </w:r>
            <w:r>
              <w:rPr>
                <w:rFonts w:ascii="Times New Roman" w:hAnsi="Times New Roman" w:eastAsia="Times New Roman" w:cs="Times New Roman"/>
                <w:color w:val="000000"/>
                <w:sz w:val="16"/>
              </w:rPr>
              <w:t xml:space="preserve">; </w:t>
            </w:r>
            <w:r>
              <w:rPr>
                <w:rFonts w:ascii="Times New Roman" w:hAnsi="Times New Roman" w:eastAsia="Times New Roman" w:cs="Times New Roman"/>
                <w:color w:val="000000"/>
                <w:sz w:val="16"/>
              </w:rPr>
              <w:t>c=1.0</w:t>
            </w:r>
          </w:p>
        </w:tc>
        <w:tc>
          <w:tcPr>
            <w:tcW w:type="dxa" w:w="2600"/>
            <w:vAlign w:val="center"/>
            <w:tcMar>
              <w:top w:w="60" w:type="dxa"/>
              <w:start w:w="70" w:type="dxa"/>
              <w:bottom w:w="60" w:type="dxa"/>
              <w:end w:w="70" w:type="dxa"/>
            </w:tcMar>
            <w:tcBorders>
              <w:top w:val="single" w:sz="4" w:space="0" w:color="B7B7B7"/>
              <w:start w:val="single" w:sz="4" w:space="0" w:color="B7B7B7"/>
              <w:bottom w:val="single" w:sz="4" w:space="0" w:color="B7B7B7"/>
              <w:end w:val="single" w:sz="4" w:space="0" w:color="B7B7B7"/>
              <w:insideH w:val="single" w:sz="4" w:space="0" w:color="B7B7B7"/>
              <w:insideV w:val="single" w:sz="4" w:space="0" w:color="B7B7B7"/>
            </w:tcBorders>
          </w:tcPr>
          <w:p>
            <w:pPr>
              <w:keepLines/>
              <w:spacing w:before="0" w:after="0" w:line="240" w:lineRule="auto"/>
            </w:pPr>
            <w:r>
              <w:rPr>
                <w:rFonts w:ascii="Times New Roman" w:hAnsi="Times New Roman" w:eastAsia="Times New Roman" w:cs="Times New Roman"/>
                <w:color w:val="000000"/>
                <w:sz w:val="16"/>
              </w:rPr>
              <w:t xml:space="preserve">Descriptive rho </w:t>
            </w:r>
            <w:r>
              <w:rPr>
                <w:rFonts w:ascii="Times New Roman" w:hAnsi="Times New Roman" w:eastAsia="Times New Roman" w:cs="Times New Roman"/>
                <w:color w:val="000000"/>
                <w:sz w:val="16"/>
              </w:rPr>
              <w:t>0.9880098603</w:t>
            </w:r>
            <w:r>
              <w:rPr>
                <w:rFonts w:ascii="Times New Roman" w:hAnsi="Times New Roman" w:eastAsia="Times New Roman" w:cs="Times New Roman"/>
                <w:color w:val="000000"/>
                <w:sz w:val="16"/>
              </w:rPr>
              <w:t xml:space="preserve"> over 25 nested cells; median-margin rho identical; qLogNEI sensitivity </w:t>
            </w:r>
            <w:r>
              <w:rPr>
                <w:rFonts w:ascii="Times New Roman" w:hAnsi="Times New Roman" w:eastAsia="Times New Roman" w:cs="Times New Roman"/>
                <w:color w:val="000000"/>
                <w:sz w:val="16"/>
              </w:rPr>
              <w:t>0.9682461469</w:t>
            </w:r>
          </w:p>
        </w:tc>
        <w:tc>
          <w:tcPr>
            <w:tcW w:type="dxa" w:w="3060"/>
            <w:vAlign w:val="center"/>
            <w:tcMar>
              <w:top w:w="60" w:type="dxa"/>
              <w:start w:w="70" w:type="dxa"/>
              <w:bottom w:w="60" w:type="dxa"/>
              <w:end w:w="70" w:type="dxa"/>
            </w:tcMar>
            <w:tcBorders>
              <w:top w:val="single" w:sz="4" w:space="0" w:color="B7B7B7"/>
              <w:start w:val="single" w:sz="4" w:space="0" w:color="B7B7B7"/>
              <w:bottom w:val="single" w:sz="4" w:space="0" w:color="B7B7B7"/>
              <w:end w:val="single" w:sz="4" w:space="0" w:color="B7B7B7"/>
              <w:insideH w:val="single" w:sz="4" w:space="0" w:color="B7B7B7"/>
              <w:insideV w:val="single" w:sz="4" w:space="0" w:color="B7B7B7"/>
            </w:tcBorders>
          </w:tcPr>
          <w:p>
            <w:pPr>
              <w:keepLines/>
              <w:spacing w:before="0" w:after="0" w:line="240" w:lineRule="auto"/>
            </w:pPr>
            <w:r>
              <w:rPr>
                <w:rFonts w:ascii="Times New Roman" w:hAnsi="Times New Roman" w:eastAsia="Times New Roman" w:cs="Times New Roman"/>
                <w:color w:val="000000"/>
                <w:sz w:val="16"/>
              </w:rPr>
              <w:t>Oracle-derived explanation; no naive p inference.</w:t>
            </w:r>
          </w:p>
        </w:tc>
      </w:tr>
      <w:tr>
        <w:trPr>
          <w:cantSplit/>
        </w:trPr>
        <w:tc>
          <w:tcPr>
            <w:tcW w:type="dxa" w:w="700"/>
            <w:vAlign w:val="center"/>
            <w:tcMar>
              <w:top w:w="60" w:type="dxa"/>
              <w:start w:w="70" w:type="dxa"/>
              <w:bottom w:w="60" w:type="dxa"/>
              <w:end w:w="70" w:type="dxa"/>
            </w:tcMar>
            <w:tcBorders>
              <w:top w:val="single" w:sz="4" w:space="0" w:color="B7B7B7"/>
              <w:start w:val="single" w:sz="4" w:space="0" w:color="B7B7B7"/>
              <w:bottom w:val="single" w:sz="4" w:space="0" w:color="B7B7B7"/>
              <w:end w:val="single" w:sz="4" w:space="0" w:color="B7B7B7"/>
              <w:insideH w:val="single" w:sz="4" w:space="0" w:color="B7B7B7"/>
              <w:insideV w:val="single" w:sz="4" w:space="0" w:color="B7B7B7"/>
            </w:tcBorders>
          </w:tcPr>
          <w:p>
            <w:pPr>
              <w:keepLines/>
              <w:spacing w:before="0" w:after="0" w:line="240" w:lineRule="auto"/>
            </w:pPr>
            <w:r>
              <w:rPr>
                <w:rFonts w:ascii="Times New Roman" w:hAnsi="Times New Roman" w:eastAsia="Times New Roman" w:cs="Times New Roman"/>
                <w:color w:val="000000"/>
                <w:sz w:val="16"/>
              </w:rPr>
              <w:t>C6</w:t>
            </w:r>
          </w:p>
        </w:tc>
        <w:tc>
          <w:tcPr>
            <w:tcW w:type="dxa" w:w="3000"/>
            <w:vAlign w:val="center"/>
            <w:tcMar>
              <w:top w:w="60" w:type="dxa"/>
              <w:start w:w="70" w:type="dxa"/>
              <w:bottom w:w="60" w:type="dxa"/>
              <w:end w:w="70" w:type="dxa"/>
            </w:tcMar>
            <w:tcBorders>
              <w:top w:val="single" w:sz="4" w:space="0" w:color="B7B7B7"/>
              <w:start w:val="single" w:sz="4" w:space="0" w:color="B7B7B7"/>
              <w:bottom w:val="single" w:sz="4" w:space="0" w:color="B7B7B7"/>
              <w:end w:val="single" w:sz="4" w:space="0" w:color="B7B7B7"/>
              <w:insideH w:val="single" w:sz="4" w:space="0" w:color="B7B7B7"/>
              <w:insideV w:val="single" w:sz="4" w:space="0" w:color="B7B7B7"/>
            </w:tcBorders>
          </w:tcPr>
          <w:p>
            <w:pPr>
              <w:keepLines/>
              <w:spacing w:before="0" w:after="0" w:line="240" w:lineRule="auto"/>
            </w:pPr>
            <w:r>
              <w:rPr>
                <w:rFonts w:ascii="Times New Roman" w:hAnsi="Times New Roman" w:eastAsia="Times New Roman" w:cs="Times New Roman"/>
                <w:color w:val="000000"/>
                <w:sz w:val="16"/>
              </w:rPr>
              <w:t xml:space="preserve">Hill, prevalence 0.70; 64 seeds; SPADE/qLogNEI R5; 48 wells; noise 0.25; </w:t>
            </w:r>
            <w:r>
              <w:rPr>
                <w:rFonts w:ascii="Times New Roman" w:hAnsi="Times New Roman" w:eastAsia="Times New Roman" w:cs="Times New Roman"/>
                <w:color w:val="000000"/>
                <w:sz w:val="16"/>
              </w:rPr>
              <w:t>alpha=0.95</w:t>
            </w:r>
            <w:r>
              <w:rPr>
                <w:rFonts w:ascii="Times New Roman" w:hAnsi="Times New Roman" w:eastAsia="Times New Roman" w:cs="Times New Roman"/>
                <w:color w:val="000000"/>
                <w:sz w:val="16"/>
              </w:rPr>
              <w:t xml:space="preserve">; </w:t>
            </w:r>
            <w:r>
              <w:rPr>
                <w:rFonts w:ascii="Times New Roman" w:hAnsi="Times New Roman" w:eastAsia="Times New Roman" w:cs="Times New Roman"/>
                <w:color w:val="000000"/>
                <w:sz w:val="16"/>
              </w:rPr>
              <w:t>c=1.0</w:t>
            </w:r>
          </w:p>
        </w:tc>
        <w:tc>
          <w:tcPr>
            <w:tcW w:type="dxa" w:w="2600"/>
            <w:vAlign w:val="center"/>
            <w:tcMar>
              <w:top w:w="60" w:type="dxa"/>
              <w:start w:w="70" w:type="dxa"/>
              <w:bottom w:w="60" w:type="dxa"/>
              <w:end w:w="70" w:type="dxa"/>
            </w:tcMar>
            <w:tcBorders>
              <w:top w:val="single" w:sz="4" w:space="0" w:color="B7B7B7"/>
              <w:start w:val="single" w:sz="4" w:space="0" w:color="B7B7B7"/>
              <w:bottom w:val="single" w:sz="4" w:space="0" w:color="B7B7B7"/>
              <w:end w:val="single" w:sz="4" w:space="0" w:color="B7B7B7"/>
              <w:insideH w:val="single" w:sz="4" w:space="0" w:color="B7B7B7"/>
              <w:insideV w:val="single" w:sz="4" w:space="0" w:color="B7B7B7"/>
            </w:tcBorders>
          </w:tcPr>
          <w:p>
            <w:pPr>
              <w:keepLines/>
              <w:spacing w:before="0" w:after="0" w:line="240" w:lineRule="auto"/>
            </w:pPr>
            <w:r>
              <w:rPr>
                <w:rFonts w:ascii="Times New Roman" w:hAnsi="Times New Roman" w:eastAsia="Times New Roman" w:cs="Times New Roman"/>
                <w:color w:val="000000"/>
                <w:sz w:val="16"/>
              </w:rPr>
              <w:t xml:space="preserve">SPADE 40/64 answered, 40/40 contained, LB </w:t>
            </w:r>
            <w:r>
              <w:rPr>
                <w:rFonts w:ascii="Times New Roman" w:hAnsi="Times New Roman" w:eastAsia="Times New Roman" w:cs="Times New Roman"/>
                <w:color w:val="000000"/>
                <w:sz w:val="16"/>
              </w:rPr>
              <w:t>0.9278</w:t>
            </w:r>
            <w:r>
              <w:rPr>
                <w:rFonts w:ascii="Times New Roman" w:hAnsi="Times New Roman" w:eastAsia="Times New Roman" w:cs="Times New Roman"/>
                <w:color w:val="000000"/>
                <w:sz w:val="16"/>
              </w:rPr>
              <w:t xml:space="preserve">; qLogNEI 27/64 answered, 27/27 contained, LB below </w:t>
            </w:r>
            <w:r>
              <w:rPr>
                <w:rFonts w:ascii="Times New Roman" w:hAnsi="Times New Roman" w:eastAsia="Times New Roman" w:cs="Times New Roman"/>
                <w:color w:val="000000"/>
                <w:sz w:val="16"/>
              </w:rPr>
              <w:t>0.90</w:t>
            </w:r>
          </w:p>
        </w:tc>
        <w:tc>
          <w:tcPr>
            <w:tcW w:type="dxa" w:w="3060"/>
            <w:vAlign w:val="center"/>
            <w:tcMar>
              <w:top w:w="60" w:type="dxa"/>
              <w:start w:w="70" w:type="dxa"/>
              <w:bottom w:w="60" w:type="dxa"/>
              <w:end w:w="70" w:type="dxa"/>
            </w:tcMar>
            <w:tcBorders>
              <w:top w:val="single" w:sz="4" w:space="0" w:color="B7B7B7"/>
              <w:start w:val="single" w:sz="4" w:space="0" w:color="B7B7B7"/>
              <w:bottom w:val="single" w:sz="4" w:space="0" w:color="B7B7B7"/>
              <w:end w:val="single" w:sz="4" w:space="0" w:color="B7B7B7"/>
              <w:insideH w:val="single" w:sz="4" w:space="0" w:color="B7B7B7"/>
              <w:insideV w:val="single" w:sz="4" w:space="0" w:color="B7B7B7"/>
            </w:tcBorders>
          </w:tcPr>
          <w:p>
            <w:pPr>
              <w:keepLines/>
              <w:spacing w:before="0" w:after="0" w:line="240" w:lineRule="auto"/>
            </w:pPr>
            <w:r>
              <w:rPr>
                <w:rFonts w:ascii="Times New Roman" w:hAnsi="Times New Roman" w:eastAsia="Times New Roman" w:cs="Times New Roman"/>
                <w:color w:val="000000"/>
                <w:sz w:val="16"/>
              </w:rPr>
              <w:t>Both had perfect observed containment; qLogNEI was two answers below the registered minimum perfect-containment count.</w:t>
            </w:r>
          </w:p>
        </w:tc>
      </w:tr>
      <w:tr>
        <w:trPr>
          <w:cantSplit/>
        </w:trPr>
        <w:tc>
          <w:tcPr>
            <w:tcW w:type="dxa" w:w="700"/>
            <w:vAlign w:val="center"/>
            <w:tcMar>
              <w:top w:w="60" w:type="dxa"/>
              <w:start w:w="70" w:type="dxa"/>
              <w:bottom w:w="60" w:type="dxa"/>
              <w:end w:w="70" w:type="dxa"/>
            </w:tcMar>
            <w:tcBorders>
              <w:top w:val="single" w:sz="4" w:space="0" w:color="B7B7B7"/>
              <w:start w:val="single" w:sz="4" w:space="0" w:color="B7B7B7"/>
              <w:bottom w:val="single" w:sz="4" w:space="0" w:color="B7B7B7"/>
              <w:end w:val="single" w:sz="4" w:space="0" w:color="B7B7B7"/>
              <w:insideH w:val="single" w:sz="4" w:space="0" w:color="B7B7B7"/>
              <w:insideV w:val="single" w:sz="4" w:space="0" w:color="B7B7B7"/>
            </w:tcBorders>
          </w:tcPr>
          <w:p>
            <w:pPr>
              <w:keepLines/>
              <w:spacing w:before="0" w:after="0" w:line="240" w:lineRule="auto"/>
            </w:pPr>
            <w:r>
              <w:rPr>
                <w:rFonts w:ascii="Times New Roman" w:hAnsi="Times New Roman" w:eastAsia="Times New Roman" w:cs="Times New Roman"/>
                <w:color w:val="000000"/>
                <w:sz w:val="16"/>
              </w:rPr>
              <w:t>S1</w:t>
            </w:r>
          </w:p>
        </w:tc>
        <w:tc>
          <w:tcPr>
            <w:tcW w:type="dxa" w:w="3000"/>
            <w:vAlign w:val="center"/>
            <w:tcMar>
              <w:top w:w="60" w:type="dxa"/>
              <w:start w:w="70" w:type="dxa"/>
              <w:bottom w:w="60" w:type="dxa"/>
              <w:end w:w="70" w:type="dxa"/>
            </w:tcMar>
            <w:tcBorders>
              <w:top w:val="single" w:sz="4" w:space="0" w:color="B7B7B7"/>
              <w:start w:val="single" w:sz="4" w:space="0" w:color="B7B7B7"/>
              <w:bottom w:val="single" w:sz="4" w:space="0" w:color="B7B7B7"/>
              <w:end w:val="single" w:sz="4" w:space="0" w:color="B7B7B7"/>
              <w:insideH w:val="single" w:sz="4" w:space="0" w:color="B7B7B7"/>
              <w:insideV w:val="single" w:sz="4" w:space="0" w:color="B7B7B7"/>
            </w:tcBorders>
          </w:tcPr>
          <w:p>
            <w:pPr>
              <w:keepLines/>
              <w:spacing w:before="0" w:after="0" w:line="240" w:lineRule="auto"/>
            </w:pPr>
            <w:r>
              <w:rPr>
                <w:rFonts w:ascii="Times New Roman" w:hAnsi="Times New Roman" w:eastAsia="Times New Roman" w:cs="Times New Roman"/>
                <w:color w:val="000000"/>
                <w:sz w:val="16"/>
              </w:rPr>
              <w:t>TT, prevalence 0.30; five families x 32 seeds; 48 wells; noise 0.25; committed vs target-aligned SPADE R5</w:t>
            </w:r>
          </w:p>
        </w:tc>
        <w:tc>
          <w:tcPr>
            <w:tcW w:type="dxa" w:w="2600"/>
            <w:vAlign w:val="center"/>
            <w:tcMar>
              <w:top w:w="60" w:type="dxa"/>
              <w:start w:w="70" w:type="dxa"/>
              <w:bottom w:w="60" w:type="dxa"/>
              <w:end w:w="70" w:type="dxa"/>
            </w:tcMar>
            <w:tcBorders>
              <w:top w:val="single" w:sz="4" w:space="0" w:color="B7B7B7"/>
              <w:start w:val="single" w:sz="4" w:space="0" w:color="B7B7B7"/>
              <w:bottom w:val="single" w:sz="4" w:space="0" w:color="B7B7B7"/>
              <w:end w:val="single" w:sz="4" w:space="0" w:color="B7B7B7"/>
              <w:insideH w:val="single" w:sz="4" w:space="0" w:color="B7B7B7"/>
              <w:insideV w:val="single" w:sz="4" w:space="0" w:color="B7B7B7"/>
            </w:tcBorders>
          </w:tcPr>
          <w:p>
            <w:pPr>
              <w:keepLines/>
              <w:spacing w:before="0" w:after="0" w:line="240" w:lineRule="auto"/>
            </w:pPr>
            <w:r>
              <w:rPr>
                <w:rFonts w:ascii="Times New Roman" w:hAnsi="Times New Roman" w:eastAsia="Times New Roman" w:cs="Times New Roman"/>
                <w:color w:val="000000"/>
                <w:sz w:val="16"/>
              </w:rPr>
              <w:t xml:space="preserve">Volume </w:t>
            </w:r>
            <w:r>
              <w:rPr>
                <w:rFonts w:ascii="Times New Roman" w:hAnsi="Times New Roman" w:eastAsia="Times New Roman" w:cs="Times New Roman"/>
                <w:color w:val="000000"/>
                <w:sz w:val="16"/>
              </w:rPr>
              <w:t>+0.000425</w:t>
            </w:r>
            <w:r>
              <w:rPr>
                <w:rFonts w:ascii="Times New Roman" w:hAnsi="Times New Roman" w:eastAsia="Times New Roman" w:cs="Times New Roman"/>
                <w:color w:val="000000"/>
                <w:sz w:val="16"/>
              </w:rPr>
              <w:t xml:space="preserve">, 95% CI </w:t>
            </w:r>
            <w:r>
              <w:rPr>
                <w:rFonts w:ascii="Times New Roman" w:hAnsi="Times New Roman" w:eastAsia="Times New Roman" w:cs="Times New Roman"/>
                <w:color w:val="000000"/>
                <w:sz w:val="16"/>
              </w:rPr>
              <w:t>[-0.000022,+0.000875]</w:t>
            </w:r>
            <w:r>
              <w:rPr>
                <w:rFonts w:ascii="Times New Roman" w:hAnsi="Times New Roman" w:eastAsia="Times New Roman" w:cs="Times New Roman"/>
                <w:color w:val="000000"/>
                <w:sz w:val="16"/>
              </w:rPr>
              <w:t xml:space="preserve">; regret </w:t>
            </w:r>
            <w:r>
              <w:rPr>
                <w:rFonts w:ascii="Times New Roman" w:hAnsi="Times New Roman" w:eastAsia="Times New Roman" w:cs="Times New Roman"/>
                <w:color w:val="000000"/>
                <w:sz w:val="16"/>
              </w:rPr>
              <w:t>+0.0301</w:t>
            </w:r>
            <w:r>
              <w:rPr>
                <w:rFonts w:ascii="Times New Roman" w:hAnsi="Times New Roman" w:eastAsia="Times New Roman" w:cs="Times New Roman"/>
                <w:color w:val="000000"/>
                <w:sz w:val="16"/>
              </w:rPr>
              <w:t xml:space="preserve">, 95% CI </w:t>
            </w:r>
            <w:r>
              <w:rPr>
                <w:rFonts w:ascii="Times New Roman" w:hAnsi="Times New Roman" w:eastAsia="Times New Roman" w:cs="Times New Roman"/>
                <w:color w:val="000000"/>
                <w:sz w:val="16"/>
              </w:rPr>
              <w:t>[+0.0169,+0.0450]</w:t>
            </w:r>
            <w:r>
              <w:rPr>
                <w:rFonts w:ascii="Times New Roman" w:hAnsi="Times New Roman" w:eastAsia="Times New Roman" w:cs="Times New Roman"/>
                <w:color w:val="000000"/>
                <w:sz w:val="16"/>
              </w:rPr>
              <w:t xml:space="preserve">, </w:t>
            </w:r>
            <w:r>
              <w:rPr>
                <w:rFonts w:ascii="Times New Roman" w:hAnsi="Times New Roman" w:eastAsia="Times New Roman" w:cs="Times New Roman"/>
                <w:color w:val="000000"/>
                <w:sz w:val="16"/>
              </w:rPr>
              <w:t>p&lt;0.0001</w:t>
            </w:r>
          </w:p>
        </w:tc>
        <w:tc>
          <w:tcPr>
            <w:tcW w:type="dxa" w:w="3060"/>
            <w:vAlign w:val="center"/>
            <w:tcMar>
              <w:top w:w="60" w:type="dxa"/>
              <w:start w:w="70" w:type="dxa"/>
              <w:bottom w:w="60" w:type="dxa"/>
              <w:end w:w="70" w:type="dxa"/>
            </w:tcMar>
            <w:tcBorders>
              <w:top w:val="single" w:sz="4" w:space="0" w:color="B7B7B7"/>
              <w:start w:val="single" w:sz="4" w:space="0" w:color="B7B7B7"/>
              <w:bottom w:val="single" w:sz="4" w:space="0" w:color="B7B7B7"/>
              <w:end w:val="single" w:sz="4" w:space="0" w:color="B7B7B7"/>
              <w:insideH w:val="single" w:sz="4" w:space="0" w:color="B7B7B7"/>
              <w:insideV w:val="single" w:sz="4" w:space="0" w:color="B7B7B7"/>
            </w:tcBorders>
          </w:tcPr>
          <w:p>
            <w:pPr>
              <w:keepLines/>
              <w:spacing w:before="0" w:after="0" w:line="240" w:lineRule="auto"/>
            </w:pPr>
            <w:r>
              <w:rPr>
                <w:rFonts w:ascii="Times New Roman" w:hAnsi="Times New Roman" w:eastAsia="Times New Roman" w:cs="Times New Roman"/>
                <w:color w:val="000000"/>
                <w:sz w:val="16"/>
              </w:rPr>
              <w:t>Adoption gate failed; Hartmann6/Ackley effects cancelled.</w:t>
            </w:r>
          </w:p>
        </w:tc>
      </w:tr>
      <w:tr>
        <w:trPr>
          <w:cantSplit/>
        </w:trPr>
        <w:tc>
          <w:tcPr>
            <w:tcW w:type="dxa" w:w="700"/>
            <w:vAlign w:val="center"/>
            <w:tcMar>
              <w:top w:w="60" w:type="dxa"/>
              <w:start w:w="70" w:type="dxa"/>
              <w:bottom w:w="60" w:type="dxa"/>
              <w:end w:w="70" w:type="dxa"/>
            </w:tcMar>
            <w:tcBorders>
              <w:top w:val="single" w:sz="4" w:space="0" w:color="B7B7B7"/>
              <w:start w:val="single" w:sz="4" w:space="0" w:color="B7B7B7"/>
              <w:bottom w:val="single" w:sz="4" w:space="0" w:color="B7B7B7"/>
              <w:end w:val="single" w:sz="4" w:space="0" w:color="B7B7B7"/>
              <w:insideH w:val="single" w:sz="4" w:space="0" w:color="B7B7B7"/>
              <w:insideV w:val="single" w:sz="4" w:space="0" w:color="B7B7B7"/>
            </w:tcBorders>
          </w:tcPr>
          <w:p>
            <w:pPr>
              <w:keepLines/>
              <w:spacing w:before="0" w:after="0" w:line="240" w:lineRule="auto"/>
            </w:pPr>
            <w:r>
              <w:rPr>
                <w:rFonts w:ascii="Times New Roman" w:hAnsi="Times New Roman" w:eastAsia="Times New Roman" w:cs="Times New Roman"/>
                <w:color w:val="000000"/>
                <w:sz w:val="16"/>
              </w:rPr>
              <w:t>S2/S3</w:t>
            </w:r>
          </w:p>
        </w:tc>
        <w:tc>
          <w:tcPr>
            <w:tcW w:type="dxa" w:w="3000"/>
            <w:vAlign w:val="center"/>
            <w:tcMar>
              <w:top w:w="60" w:type="dxa"/>
              <w:start w:w="70" w:type="dxa"/>
              <w:bottom w:w="60" w:type="dxa"/>
              <w:end w:w="70" w:type="dxa"/>
            </w:tcMar>
            <w:tcBorders>
              <w:top w:val="single" w:sz="4" w:space="0" w:color="B7B7B7"/>
              <w:start w:val="single" w:sz="4" w:space="0" w:color="B7B7B7"/>
              <w:bottom w:val="single" w:sz="4" w:space="0" w:color="B7B7B7"/>
              <w:end w:val="single" w:sz="4" w:space="0" w:color="B7B7B7"/>
              <w:insideH w:val="single" w:sz="4" w:space="0" w:color="B7B7B7"/>
              <w:insideV w:val="single" w:sz="4" w:space="0" w:color="B7B7B7"/>
            </w:tcBorders>
          </w:tcPr>
          <w:p>
            <w:pPr>
              <w:keepLines/>
              <w:spacing w:before="0" w:after="0" w:line="240" w:lineRule="auto"/>
            </w:pPr>
            <w:r>
              <w:rPr>
                <w:rFonts w:ascii="Times New Roman" w:hAnsi="Times New Roman" w:eastAsia="Times New Roman" w:cs="Times New Roman"/>
                <w:color w:val="000000"/>
                <w:sz w:val="16"/>
              </w:rPr>
              <w:t>Retrospective synthetic, in-house, and Hall/Ogle diagnostics</w:t>
            </w:r>
          </w:p>
        </w:tc>
        <w:tc>
          <w:tcPr>
            <w:tcW w:type="dxa" w:w="2600"/>
            <w:vAlign w:val="center"/>
            <w:tcMar>
              <w:top w:w="60" w:type="dxa"/>
              <w:start w:w="70" w:type="dxa"/>
              <w:bottom w:w="60" w:type="dxa"/>
              <w:end w:w="70" w:type="dxa"/>
            </w:tcMar>
            <w:tcBorders>
              <w:top w:val="single" w:sz="4" w:space="0" w:color="B7B7B7"/>
              <w:start w:val="single" w:sz="4" w:space="0" w:color="B7B7B7"/>
              <w:bottom w:val="single" w:sz="4" w:space="0" w:color="B7B7B7"/>
              <w:end w:val="single" w:sz="4" w:space="0" w:color="B7B7B7"/>
              <w:insideH w:val="single" w:sz="4" w:space="0" w:color="B7B7B7"/>
              <w:insideV w:val="single" w:sz="4" w:space="0" w:color="B7B7B7"/>
            </w:tcBorders>
          </w:tcPr>
          <w:p>
            <w:pPr>
              <w:keepLines/>
              <w:spacing w:before="0" w:after="0" w:line="240" w:lineRule="auto"/>
            </w:pPr>
            <w:r>
              <w:rPr>
                <w:rFonts w:ascii="Times New Roman" w:hAnsi="Times New Roman" w:eastAsia="Times New Roman" w:cs="Times New Roman"/>
                <w:color w:val="000000"/>
                <w:sz w:val="16"/>
              </w:rPr>
              <w:t xml:space="preserve">Mean posterior marginal SD over the candidate grid widened </w:t>
            </w:r>
            <w:r>
              <w:rPr>
                <w:rFonts w:ascii="Times New Roman" w:hAnsi="Times New Roman" w:eastAsia="Times New Roman" w:cs="Times New Roman"/>
                <w:color w:val="000000"/>
                <w:sz w:val="16"/>
              </w:rPr>
              <w:t>1.004x--1.011x</w:t>
            </w:r>
            <w:r>
              <w:rPr>
                <w:rFonts w:ascii="Times New Roman" w:hAnsi="Times New Roman" w:eastAsia="Times New Roman" w:cs="Times New Roman"/>
                <w:color w:val="000000"/>
                <w:sz w:val="16"/>
              </w:rPr>
              <w:t xml:space="preserve"> on benchmarks, </w:t>
            </w:r>
            <w:r>
              <w:rPr>
                <w:rFonts w:ascii="Times New Roman" w:hAnsi="Times New Roman" w:eastAsia="Times New Roman" w:cs="Times New Roman"/>
                <w:color w:val="000000"/>
                <w:sz w:val="16"/>
              </w:rPr>
              <w:t>484x</w:t>
            </w:r>
            <w:r>
              <w:rPr>
                <w:rFonts w:ascii="Times New Roman" w:hAnsi="Times New Roman" w:eastAsia="Times New Roman" w:cs="Times New Roman"/>
                <w:color w:val="000000"/>
                <w:sz w:val="16"/>
              </w:rPr>
              <w:t xml:space="preserve"> in-house, and </w:t>
            </w:r>
            <w:r>
              <w:rPr>
                <w:rFonts w:ascii="Times New Roman" w:hAnsi="Times New Roman" w:eastAsia="Times New Roman" w:cs="Times New Roman"/>
                <w:color w:val="000000"/>
                <w:sz w:val="16"/>
              </w:rPr>
              <w:t>297x</w:t>
            </w:r>
            <w:r>
              <w:rPr>
                <w:rFonts w:ascii="Times New Roman" w:hAnsi="Times New Roman" w:eastAsia="Times New Roman" w:cs="Times New Roman"/>
                <w:color w:val="000000"/>
                <w:sz w:val="16"/>
              </w:rPr>
              <w:t xml:space="preserve"> on Hall/Ogle; LOO </w:t>
            </w:r>
            <w:r>
              <w:rPr>
                <w:rFonts w:ascii="Times New Roman" w:hAnsi="Times New Roman" w:eastAsia="Times New Roman" w:cs="Times New Roman"/>
                <w:color w:val="000000"/>
                <w:sz w:val="16"/>
              </w:rPr>
              <w:t>c=0.712</w:t>
            </w:r>
            <w:r>
              <w:rPr>
                <w:rFonts w:ascii="Times New Roman" w:hAnsi="Times New Roman" w:eastAsia="Times New Roman" w:cs="Times New Roman"/>
                <w:color w:val="000000"/>
                <w:sz w:val="16"/>
              </w:rPr>
              <w:t xml:space="preserve"> in-house, </w:t>
            </w:r>
            <w:r>
              <w:rPr>
                <w:rFonts w:ascii="Times New Roman" w:hAnsi="Times New Roman" w:eastAsia="Times New Roman" w:cs="Times New Roman"/>
                <w:color w:val="000000"/>
                <w:sz w:val="16"/>
              </w:rPr>
              <w:t>c=0.526</w:t>
            </w:r>
            <w:r>
              <w:rPr>
                <w:rFonts w:ascii="Times New Roman" w:hAnsi="Times New Roman" w:eastAsia="Times New Roman" w:cs="Times New Roman"/>
                <w:color w:val="000000"/>
                <w:sz w:val="16"/>
              </w:rPr>
              <w:t xml:space="preserve"> published</w:t>
            </w:r>
          </w:p>
        </w:tc>
        <w:tc>
          <w:tcPr>
            <w:tcW w:type="dxa" w:w="3060"/>
            <w:vAlign w:val="center"/>
            <w:tcMar>
              <w:top w:w="60" w:type="dxa"/>
              <w:start w:w="70" w:type="dxa"/>
              <w:bottom w:w="60" w:type="dxa"/>
              <w:end w:w="70" w:type="dxa"/>
            </w:tcMar>
            <w:tcBorders>
              <w:top w:val="single" w:sz="4" w:space="0" w:color="B7B7B7"/>
              <w:start w:val="single" w:sz="4" w:space="0" w:color="B7B7B7"/>
              <w:bottom w:val="single" w:sz="4" w:space="0" w:color="B7B7B7"/>
              <w:end w:val="single" w:sz="4" w:space="0" w:color="B7B7B7"/>
              <w:insideH w:val="single" w:sz="4" w:space="0" w:color="B7B7B7"/>
              <w:insideV w:val="single" w:sz="4" w:space="0" w:color="B7B7B7"/>
            </w:tcBorders>
          </w:tcPr>
          <w:p>
            <w:pPr>
              <w:keepLines/>
              <w:spacing w:before="0" w:after="0" w:line="240" w:lineRule="auto"/>
            </w:pPr>
            <w:r>
              <w:rPr>
                <w:rFonts w:ascii="Times New Roman" w:hAnsi="Times New Roman" w:eastAsia="Times New Roman" w:cs="Times New Roman"/>
                <w:color w:val="000000"/>
                <w:sz w:val="16"/>
              </w:rPr>
              <w:t>Supporting stdout-reproduced diagnostics without structured result objects or numerical guards.</w:t>
            </w:r>
          </w:p>
        </w:tc>
      </w:tr>
    </w:tbl>
    <w:p>
      <w:pPr>
        <w:spacing w:after="0"/>
      </w:pPr>
    </w:p>
    <w:p>
      <w:pPr>
        <w:pStyle w:val="Heading2"/>
      </w:pPr>
      <w:r>
        <w:rPr>
          <w:rFonts w:ascii="Times New Roman" w:hAnsi="Times New Roman" w:eastAsia="Times New Roman" w:cs="Times New Roman"/>
          <w:color w:val="000000"/>
          <w:sz w:val="24"/>
        </w:rPr>
        <w:t>3.1 Point optimization</w:t>
      </w:r>
    </w:p>
    <w:p>
      <w:r>
        <w:rPr>
          <w:rFonts w:ascii="Times New Roman" w:hAnsi="Times New Roman" w:eastAsia="Times New Roman" w:cs="Times New Roman"/>
          <w:color w:val="000000"/>
          <w:sz w:val="24"/>
        </w:rPr>
        <w:t xml:space="preserve">The DC SPADE R5 minus qLogNEI R10 regret contrast was </w:t>
      </w:r>
      <w:r>
        <w:rPr>
          <w:rFonts w:ascii="Times New Roman" w:hAnsi="Times New Roman" w:eastAsia="Times New Roman" w:cs="Times New Roman"/>
          <w:color w:val="000000"/>
          <w:sz w:val="24"/>
        </w:rPr>
        <w:t>-0.0005</w:t>
      </w:r>
      <w:r>
        <w:rPr>
          <w:rFonts w:ascii="Times New Roman" w:hAnsi="Times New Roman" w:eastAsia="Times New Roman" w:cs="Times New Roman"/>
          <w:color w:val="000000"/>
          <w:sz w:val="24"/>
        </w:rPr>
        <w:t xml:space="preserve"> (95% CI </w:t>
      </w:r>
      <w:r>
        <w:rPr>
          <w:rFonts w:ascii="Times New Roman" w:hAnsi="Times New Roman" w:eastAsia="Times New Roman" w:cs="Times New Roman"/>
          <w:color w:val="000000"/>
          <w:sz w:val="24"/>
        </w:rPr>
        <w:t>[-0.0221,0.0207]</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p=0.96</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n=160</w:t>
      </w:r>
      <w:r>
        <w:rPr>
          <w:rFonts w:ascii="Times New Roman" w:hAnsi="Times New Roman" w:eastAsia="Times New Roman" w:cs="Times New Roman"/>
          <w:color w:val="000000"/>
          <w:sz w:val="24"/>
        </w:rPr>
        <w:t>; Table 3). The interval extends slightly beyond the registered +/-0.02 effect boundary. It supports no detectable difference, not equivalence. Both used 48 wells; SPADE used fewer rounds, but time and cost were not measured.</w:t>
      </w:r>
    </w:p>
    <w:p>
      <w:pPr>
        <w:pStyle w:val="Heading2"/>
      </w:pPr>
      <w:r>
        <w:rPr>
          <w:rFonts w:ascii="Times New Roman" w:hAnsi="Times New Roman" w:eastAsia="Times New Roman" w:cs="Times New Roman"/>
          <w:color w:val="000000"/>
          <w:sz w:val="24"/>
        </w:rPr>
        <w:t>3.2 Matched rounds and one-shot sampling</w:t>
      </w:r>
    </w:p>
    <w:p>
      <w:r>
        <w:rPr>
          <w:rFonts w:ascii="Times New Roman" w:hAnsi="Times New Roman" w:eastAsia="Times New Roman" w:cs="Times New Roman"/>
          <w:color w:val="000000"/>
          <w:sz w:val="24"/>
        </w:rPr>
        <w:t xml:space="preserve">For C3, five-round certified-volume difference was </w:t>
      </w:r>
      <w:r>
        <w:rPr>
          <w:rFonts w:ascii="Times New Roman" w:hAnsi="Times New Roman" w:eastAsia="Times New Roman" w:cs="Times New Roman"/>
          <w:color w:val="000000"/>
          <w:sz w:val="24"/>
        </w:rPr>
        <w:t>+0.000855</w:t>
      </w:r>
      <w:r>
        <w:rPr>
          <w:rFonts w:ascii="Times New Roman" w:hAnsi="Times New Roman" w:eastAsia="Times New Roman" w:cs="Times New Roman"/>
          <w:color w:val="000000"/>
          <w:sz w:val="24"/>
        </w:rPr>
        <w:t xml:space="preserve"> (95% CI </w:t>
      </w:r>
      <w:r>
        <w:rPr>
          <w:rFonts w:ascii="Times New Roman" w:hAnsi="Times New Roman" w:eastAsia="Times New Roman" w:cs="Times New Roman"/>
          <w:color w:val="000000"/>
          <w:sz w:val="24"/>
        </w:rPr>
        <w:t>[+0.000691,+0.001028]</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p&lt;0.0001</w:t>
      </w:r>
      <w:r>
        <w:rPr>
          <w:rFonts w:ascii="Times New Roman" w:hAnsi="Times New Roman" w:eastAsia="Times New Roman" w:cs="Times New Roman"/>
          <w:color w:val="000000"/>
          <w:sz w:val="24"/>
        </w:rPr>
        <w:t>; Table 3). Its denominator is five families x 32 seeds x two prevalence cells (</w:t>
      </w:r>
      <w:r>
        <w:rPr>
          <w:rFonts w:ascii="Times New Roman" w:hAnsi="Times New Roman" w:eastAsia="Times New Roman" w:cs="Times New Roman"/>
          <w:color w:val="000000"/>
          <w:sz w:val="24"/>
        </w:rPr>
        <w:t>n=320</w:t>
      </w:r>
      <w:r>
        <w:rPr>
          <w:rFonts w:ascii="Times New Roman" w:hAnsi="Times New Roman" w:eastAsia="Times New Roman" w:cs="Times New Roman"/>
          <w:color w:val="000000"/>
          <w:sz w:val="24"/>
        </w:rPr>
        <w:t>), not 320 independent campaigns. Inflation was selected without the held-out family. The analogous three-round positive volume claim was withdrawn after extension to 32 seeds.</w:t>
      </w:r>
    </w:p>
    <w:p>
      <w:r>
        <w:rPr>
          <w:rFonts w:ascii="Times New Roman" w:hAnsi="Times New Roman" w:eastAsia="Times New Roman" w:cs="Times New Roman"/>
          <w:color w:val="000000"/>
          <w:sz w:val="24"/>
        </w:rPr>
        <w:t>At three rounds, SPADE had lower regret than one-shot LHS (</w:t>
      </w:r>
      <w:r>
        <w:rPr>
          <w:rFonts w:ascii="Times New Roman" w:hAnsi="Times New Roman" w:eastAsia="Times New Roman" w:cs="Times New Roman"/>
          <w:color w:val="000000"/>
          <w:sz w:val="24"/>
        </w:rPr>
        <w:t>-0.0783</w:t>
      </w:r>
      <w:r>
        <w:rPr>
          <w:rFonts w:ascii="Times New Roman" w:hAnsi="Times New Roman" w:eastAsia="Times New Roman" w:cs="Times New Roman"/>
          <w:color w:val="000000"/>
          <w:sz w:val="24"/>
        </w:rPr>
        <w:t xml:space="preserve">, 95% CI </w:t>
      </w:r>
      <w:r>
        <w:rPr>
          <w:rFonts w:ascii="Times New Roman" w:hAnsi="Times New Roman" w:eastAsia="Times New Roman" w:cs="Times New Roman"/>
          <w:color w:val="000000"/>
          <w:sz w:val="24"/>
        </w:rPr>
        <w:t>[-0.1104,-0.0490]</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n=80</w:t>
      </w:r>
      <w:r>
        <w:rPr>
          <w:rFonts w:ascii="Times New Roman" w:hAnsi="Times New Roman" w:eastAsia="Times New Roman" w:cs="Times New Roman"/>
          <w:color w:val="000000"/>
          <w:sz w:val="24"/>
        </w:rPr>
        <w:t>; Table 3). The denominator is four named families x 20 common seeds. This supports the frozen adaptive-versus-one-shot comparison, not a general claim that sequential design improves every outcome.</w:t>
      </w:r>
    </w:p>
    <w:p>
      <w:pPr>
        <w:pStyle w:val="Heading2"/>
      </w:pPr>
      <w:r>
        <w:rPr>
          <w:rFonts w:ascii="Times New Roman" w:hAnsi="Times New Roman" w:eastAsia="Times New Roman" w:cs="Times New Roman"/>
          <w:color w:val="000000"/>
          <w:sz w:val="24"/>
        </w:rPr>
        <w:t>3.3 DoE traded regional containment for faster point optimization</w:t>
      </w:r>
    </w:p>
    <w:p>
      <w:r>
        <w:rPr>
          <w:rFonts w:ascii="Times New Roman" w:hAnsi="Times New Roman" w:eastAsia="Times New Roman" w:cs="Times New Roman"/>
          <w:color w:val="000000"/>
          <w:sz w:val="24"/>
        </w:rPr>
        <w:t xml:space="preserve">Screened DoE R3 found a better recipe than SPADE R5: SPADE-minus-DoE regret was </w:t>
      </w:r>
      <w:r>
        <w:rPr>
          <w:rFonts w:ascii="Times New Roman" w:hAnsi="Times New Roman" w:eastAsia="Times New Roman" w:cs="Times New Roman"/>
          <w:color w:val="000000"/>
          <w:sz w:val="24"/>
        </w:rPr>
        <w:t>+0.1026</w:t>
      </w:r>
      <w:r>
        <w:rPr>
          <w:rFonts w:ascii="Times New Roman" w:hAnsi="Times New Roman" w:eastAsia="Times New Roman" w:cs="Times New Roman"/>
          <w:color w:val="000000"/>
          <w:sz w:val="24"/>
        </w:rPr>
        <w:t xml:space="preserve"> (95% CI </w:t>
      </w:r>
      <w:r>
        <w:rPr>
          <w:rFonts w:ascii="Times New Roman" w:hAnsi="Times New Roman" w:eastAsia="Times New Roman" w:cs="Times New Roman"/>
          <w:color w:val="000000"/>
          <w:sz w:val="24"/>
        </w:rPr>
        <w:t>[+0.0486,+0.1578]</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p=0.0003</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n=160</w:t>
      </w:r>
      <w:r>
        <w:rPr>
          <w:rFonts w:ascii="Times New Roman" w:hAnsi="Times New Roman" w:eastAsia="Times New Roman" w:cs="Times New Roman"/>
          <w:color w:val="000000"/>
          <w:sz w:val="24"/>
        </w:rPr>
        <w:t xml:space="preserve">). At prevalence 0.30, noise 0.25, </w:t>
      </w:r>
      <w:r>
        <w:rPr>
          <w:rFonts w:ascii="Times New Roman" w:hAnsi="Times New Roman" w:eastAsia="Times New Roman" w:cs="Times New Roman"/>
          <w:color w:val="000000"/>
          <w:sz w:val="24"/>
        </w:rPr>
        <w:t>alpha=0.95</w:t>
      </w:r>
      <w:r>
        <w:rPr>
          <w:rFonts w:ascii="Times New Roman" w:hAnsi="Times New Roman" w:eastAsia="Times New Roman" w:cs="Times New Roman"/>
          <w:color w:val="000000"/>
          <w:sz w:val="24"/>
        </w:rPr>
        <w:t xml:space="preserve">, 48 wells, and five families x 32 seeds, SPADE selected </w:t>
      </w:r>
      <w:r>
        <w:rPr>
          <w:rFonts w:ascii="Times New Roman" w:hAnsi="Times New Roman" w:eastAsia="Times New Roman" w:cs="Times New Roman"/>
          <w:color w:val="000000"/>
          <w:sz w:val="24"/>
        </w:rPr>
        <w:t>c=1</w:t>
      </w:r>
      <w:r>
        <w:rPr>
          <w:rFonts w:ascii="Times New Roman" w:hAnsi="Times New Roman" w:eastAsia="Times New Roman" w:cs="Times New Roman"/>
          <w:color w:val="000000"/>
          <w:sz w:val="24"/>
        </w:rPr>
        <w:t xml:space="preserve">, answered 66/160, and contained truth in 66/66. Neither DoE arm passed at any tested inflation, so its diagnostic counts are reported at baseline </w:t>
      </w:r>
      <w:r>
        <w:rPr>
          <w:rFonts w:ascii="Times New Roman" w:hAnsi="Times New Roman" w:eastAsia="Times New Roman" w:cs="Times New Roman"/>
          <w:color w:val="000000"/>
          <w:sz w:val="24"/>
        </w:rPr>
        <w:t>c=1</w:t>
      </w:r>
      <w:r>
        <w:rPr>
          <w:rFonts w:ascii="Times New Roman" w:hAnsi="Times New Roman" w:eastAsia="Times New Roman" w:cs="Times New Roman"/>
          <w:color w:val="000000"/>
          <w:sz w:val="24"/>
        </w:rPr>
        <w:t>: screened DoE answered 122/160 and contained 85/122; unscreened DoE answered 134/160 and contained 77/134 (Table 3). Removing screening did not repair the low observed conditional containment despite frequent answers. Because SPADE inflation was selected and evaluated within the same DC cells and the DoE rows are fallback diagnostics, these are in-sample descriptive results, not transportable 95% coverage or an indictment of DoE as a class.</w:t>
      </w:r>
    </w:p>
    <w:p>
      <w:pPr>
        <w:pStyle w:val="Heading2"/>
      </w:pPr>
      <w:r>
        <w:rPr>
          <w:rFonts w:ascii="Times New Roman" w:hAnsi="Times New Roman" w:eastAsia="Times New Roman" w:cs="Times New Roman"/>
          <w:color w:val="000000"/>
          <w:sz w:val="24"/>
        </w:rPr>
        <w:t>3.4 Certifiability and margin-to-noise</w:t>
      </w:r>
    </w:p>
    <w:p>
      <w:r>
        <w:rPr>
          <w:rFonts w:ascii="Times New Roman" w:hAnsi="Times New Roman" w:eastAsia="Times New Roman" w:cs="Times New Roman"/>
          <w:color w:val="000000"/>
          <w:sz w:val="24"/>
        </w:rPr>
        <w:t xml:space="preserve">Across five families and prevalences 0.70, 0.50, 0.30, 0.20, and 0.10, SPADE answer rate at </w:t>
      </w:r>
      <w:r>
        <w:rPr>
          <w:rFonts w:ascii="Times New Roman" w:hAnsi="Times New Roman" w:eastAsia="Times New Roman" w:cs="Times New Roman"/>
          <w:color w:val="000000"/>
          <w:sz w:val="24"/>
        </w:rPr>
        <w:t>c=1.0</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alpha=0.95</w:t>
      </w:r>
      <w:r>
        <w:rPr>
          <w:rFonts w:ascii="Times New Roman" w:hAnsi="Times New Roman" w:eastAsia="Times New Roman" w:cs="Times New Roman"/>
          <w:color w:val="000000"/>
          <w:sz w:val="24"/>
        </w:rPr>
        <w:t xml:space="preserve"> was descriptively associated with the mean of 64 unique seed-specific true margin-to-noise values (rho </w:t>
      </w:r>
      <w:r>
        <w:rPr>
          <w:rFonts w:ascii="Times New Roman" w:hAnsi="Times New Roman" w:eastAsia="Times New Roman" w:cs="Times New Roman"/>
          <w:color w:val="000000"/>
          <w:sz w:val="24"/>
        </w:rPr>
        <w:t>0.9880098603</w:t>
      </w:r>
      <w:r>
        <w:rPr>
          <w:rFonts w:ascii="Times New Roman" w:hAnsi="Times New Roman" w:eastAsia="Times New Roman" w:cs="Times New Roman"/>
          <w:color w:val="000000"/>
          <w:sz w:val="24"/>
        </w:rPr>
        <w:t xml:space="preserve">; 25 nested cells; Table 3). Median-margin rho was identical; qLogNEI sensitivity was </w:t>
      </w:r>
      <w:r>
        <w:rPr>
          <w:rFonts w:ascii="Times New Roman" w:hAnsi="Times New Roman" w:eastAsia="Times New Roman" w:cs="Times New Roman"/>
          <w:color w:val="000000"/>
          <w:sz w:val="24"/>
        </w:rPr>
        <w:t>0.9682461469</w:t>
      </w:r>
      <w:r>
        <w:rPr>
          <w:rFonts w:ascii="Times New Roman" w:hAnsi="Times New Roman" w:eastAsia="Times New Roman" w:cs="Times New Roman"/>
          <w:color w:val="000000"/>
          <w:sz w:val="24"/>
        </w:rPr>
        <w:t>. Shared families and prevalences make cells dependent and nonexchangeable; no naive correlation p-value is reported. Margin-to-noise uses latent truth and is not a prospective diagnostic.</w:t>
      </w:r>
    </w:p>
    <w:p>
      <w:r>
        <w:rPr>
          <w:rFonts w:ascii="Times New Roman" w:hAnsi="Times New Roman" w:eastAsia="Times New Roman" w:cs="Times New Roman"/>
          <w:color w:val="000000"/>
          <w:sz w:val="24"/>
        </w:rPr>
        <w:t xml:space="preserve">The biology-shaped but synthetic Hill family remained within the analysis. At prevalence 0.70, 48 wells, R5, 64 seeds, noise 0.25, </w:t>
      </w:r>
      <w:r>
        <w:rPr>
          <w:rFonts w:ascii="Times New Roman" w:hAnsi="Times New Roman" w:eastAsia="Times New Roman" w:cs="Times New Roman"/>
          <w:color w:val="000000"/>
          <w:sz w:val="24"/>
        </w:rPr>
        <w:t>alpha=0.95</w:t>
      </w:r>
      <w:r>
        <w:rPr>
          <w:rFonts w:ascii="Times New Roman" w:hAnsi="Times New Roman" w:eastAsia="Times New Roman" w:cs="Times New Roman"/>
          <w:color w:val="000000"/>
          <w:sz w:val="24"/>
        </w:rPr>
        <w:t xml:space="preserve">, and </w:t>
      </w:r>
      <w:r>
        <w:rPr>
          <w:rFonts w:ascii="Times New Roman" w:hAnsi="Times New Roman" w:eastAsia="Times New Roman" w:cs="Times New Roman"/>
          <w:color w:val="000000"/>
          <w:sz w:val="24"/>
        </w:rPr>
        <w:t>c=1.0</w:t>
      </w:r>
      <w:r>
        <w:rPr>
          <w:rFonts w:ascii="Times New Roman" w:hAnsi="Times New Roman" w:eastAsia="Times New Roman" w:cs="Times New Roman"/>
          <w:color w:val="000000"/>
          <w:sz w:val="24"/>
        </w:rPr>
        <w:t xml:space="preserve">, SPADE answered 40/64 and contained truth in 40/40 (LB </w:t>
      </w:r>
      <w:r>
        <w:rPr>
          <w:rFonts w:ascii="Times New Roman" w:hAnsi="Times New Roman" w:eastAsia="Times New Roman" w:cs="Times New Roman"/>
          <w:color w:val="000000"/>
          <w:sz w:val="24"/>
        </w:rPr>
        <w:t>0.9278</w:t>
      </w:r>
      <w:r>
        <w:rPr>
          <w:rFonts w:ascii="Times New Roman" w:hAnsi="Times New Roman" w:eastAsia="Times New Roman" w:cs="Times New Roman"/>
          <w:color w:val="000000"/>
          <w:sz w:val="24"/>
        </w:rPr>
        <w:t>). qLogNEI answered 27/64 and contained 27/27. The limitation was answer count under the registered gate, not inability of BO to return contained regions.</w:t>
      </w:r>
    </w:p>
    <w:p>
      <w:pPr>
        <w:pStyle w:val="Heading2"/>
      </w:pPr>
      <w:r>
        <w:rPr>
          <w:rFonts w:ascii="Times New Roman" w:hAnsi="Times New Roman" w:eastAsia="Times New Roman" w:cs="Times New Roman"/>
          <w:color w:val="000000"/>
          <w:sz w:val="24"/>
        </w:rPr>
        <w:t>3.5 A plausible mechanism failed</w:t>
      </w:r>
    </w:p>
    <w:p>
      <w:r>
        <w:rPr>
          <w:rFonts w:ascii="Times New Roman" w:hAnsi="Times New Roman" w:eastAsia="Times New Roman" w:cs="Times New Roman"/>
          <w:color w:val="000000"/>
          <w:sz w:val="24"/>
        </w:rPr>
        <w:t xml:space="preserve">Target-aligning the acquisition changed volume by </w:t>
      </w:r>
      <w:r>
        <w:rPr>
          <w:rFonts w:ascii="Times New Roman" w:hAnsi="Times New Roman" w:eastAsia="Times New Roman" w:cs="Times New Roman"/>
          <w:color w:val="000000"/>
          <w:sz w:val="24"/>
        </w:rPr>
        <w:t>+0.000425</w:t>
      </w:r>
      <w:r>
        <w:rPr>
          <w:rFonts w:ascii="Times New Roman" w:hAnsi="Times New Roman" w:eastAsia="Times New Roman" w:cs="Times New Roman"/>
          <w:color w:val="000000"/>
          <w:sz w:val="24"/>
        </w:rPr>
        <w:t xml:space="preserve"> (95% CI </w:t>
      </w:r>
      <w:r>
        <w:rPr>
          <w:rFonts w:ascii="Times New Roman" w:hAnsi="Times New Roman" w:eastAsia="Times New Roman" w:cs="Times New Roman"/>
          <w:color w:val="000000"/>
          <w:sz w:val="24"/>
        </w:rPr>
        <w:t>[-0.000022,+0.000875]</w:t>
      </w:r>
      <w:r>
        <w:rPr>
          <w:rFonts w:ascii="Times New Roman" w:hAnsi="Times New Roman" w:eastAsia="Times New Roman" w:cs="Times New Roman"/>
          <w:color w:val="000000"/>
          <w:sz w:val="24"/>
        </w:rPr>
        <w:t xml:space="preserve">) and worsened regret by </w:t>
      </w:r>
      <w:r>
        <w:rPr>
          <w:rFonts w:ascii="Times New Roman" w:hAnsi="Times New Roman" w:eastAsia="Times New Roman" w:cs="Times New Roman"/>
          <w:color w:val="000000"/>
          <w:sz w:val="24"/>
        </w:rPr>
        <w:t>+0.0301</w:t>
      </w:r>
      <w:r>
        <w:rPr>
          <w:rFonts w:ascii="Times New Roman" w:hAnsi="Times New Roman" w:eastAsia="Times New Roman" w:cs="Times New Roman"/>
          <w:color w:val="000000"/>
          <w:sz w:val="24"/>
        </w:rPr>
        <w:t xml:space="preserve"> (95% CI </w:t>
      </w:r>
      <w:r>
        <w:rPr>
          <w:rFonts w:ascii="Times New Roman" w:hAnsi="Times New Roman" w:eastAsia="Times New Roman" w:cs="Times New Roman"/>
          <w:color w:val="000000"/>
          <w:sz w:val="24"/>
        </w:rPr>
        <w:t>[+0.0169,+0.0450]</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p&lt;0.0001</w:t>
      </w:r>
      <w:r>
        <w:rPr>
          <w:rFonts w:ascii="Times New Roman" w:hAnsi="Times New Roman" w:eastAsia="Times New Roman" w:cs="Times New Roman"/>
          <w:color w:val="000000"/>
          <w:sz w:val="24"/>
        </w:rPr>
        <w:t>; Table 3). Hartmann6 improved and Ackley worsened, cancelling in aggregate. The mechanism did not earn adoption.</w:t>
      </w:r>
    </w:p>
    <w:p>
      <w:pPr>
        <w:pStyle w:val="Heading2"/>
      </w:pPr>
      <w:r>
        <w:rPr>
          <w:rFonts w:ascii="Times New Roman" w:hAnsi="Times New Roman" w:eastAsia="Times New Roman" w:cs="Times New Roman"/>
          <w:color w:val="000000"/>
          <w:sz w:val="24"/>
        </w:rPr>
        <w:t>3.6 Real-cell support</w:t>
      </w:r>
    </w:p>
    <w:p>
      <w:r>
        <w:rPr>
          <w:rFonts w:ascii="Times New Roman" w:hAnsi="Times New Roman" w:eastAsia="Times New Roman" w:cs="Times New Roman"/>
          <w:color w:val="000000"/>
          <w:sz w:val="24"/>
        </w:rPr>
        <w:t xml:space="preserve">Mean marginalization increased the mean posterior marginal SD over the candidate grid by </w:t>
      </w:r>
      <w:r>
        <w:rPr>
          <w:rFonts w:ascii="Times New Roman" w:hAnsi="Times New Roman" w:eastAsia="Times New Roman" w:cs="Times New Roman"/>
          <w:color w:val="000000"/>
          <w:sz w:val="24"/>
        </w:rPr>
        <w:t>484x</w:t>
      </w:r>
      <w:r>
        <w:rPr>
          <w:rFonts w:ascii="Times New Roman" w:hAnsi="Times New Roman" w:eastAsia="Times New Roman" w:cs="Times New Roman"/>
          <w:color w:val="000000"/>
          <w:sz w:val="24"/>
        </w:rPr>
        <w:t xml:space="preserve"> in-house and </w:t>
      </w:r>
      <w:r>
        <w:rPr>
          <w:rFonts w:ascii="Times New Roman" w:hAnsi="Times New Roman" w:eastAsia="Times New Roman" w:cs="Times New Roman"/>
          <w:color w:val="000000"/>
          <w:sz w:val="24"/>
        </w:rPr>
        <w:t>297x</w:t>
      </w:r>
      <w:r>
        <w:rPr>
          <w:rFonts w:ascii="Times New Roman" w:hAnsi="Times New Roman" w:eastAsia="Times New Roman" w:cs="Times New Roman"/>
          <w:color w:val="000000"/>
          <w:sz w:val="24"/>
        </w:rPr>
        <w:t xml:space="preserve"> in Hall--Ogle [23], versus </w:t>
      </w:r>
      <w:r>
        <w:rPr>
          <w:rFonts w:ascii="Times New Roman" w:hAnsi="Times New Roman" w:eastAsia="Times New Roman" w:cs="Times New Roman"/>
          <w:color w:val="000000"/>
          <w:sz w:val="24"/>
        </w:rPr>
        <w:t>1.004x--1.011x</w:t>
      </w:r>
      <w:r>
        <w:rPr>
          <w:rFonts w:ascii="Times New Roman" w:hAnsi="Times New Roman" w:eastAsia="Times New Roman" w:cs="Times New Roman"/>
          <w:color w:val="000000"/>
          <w:sz w:val="24"/>
        </w:rPr>
        <w:t xml:space="preserve"> in synthetic diagnostics. Observation-prediction LOO inflation differed (</w:t>
      </w:r>
      <w:r>
        <w:rPr>
          <w:rFonts w:ascii="Times New Roman" w:hAnsi="Times New Roman" w:eastAsia="Times New Roman" w:cs="Times New Roman"/>
          <w:color w:val="000000"/>
          <w:sz w:val="24"/>
        </w:rPr>
        <w:t>c=0.712</w:t>
      </w:r>
      <w:r>
        <w:rPr>
          <w:rFonts w:ascii="Times New Roman" w:hAnsi="Times New Roman" w:eastAsia="Times New Roman" w:cs="Times New Roman"/>
          <w:color w:val="000000"/>
          <w:sz w:val="24"/>
        </w:rPr>
        <w:t xml:space="preserve"> in-house; </w:t>
      </w:r>
      <w:r>
        <w:rPr>
          <w:rFonts w:ascii="Times New Roman" w:hAnsi="Times New Roman" w:eastAsia="Times New Roman" w:cs="Times New Roman"/>
          <w:color w:val="000000"/>
          <w:sz w:val="24"/>
        </w:rPr>
        <w:t>c=0.526</w:t>
      </w:r>
      <w:r>
        <w:rPr>
          <w:rFonts w:ascii="Times New Roman" w:hAnsi="Times New Roman" w:eastAsia="Times New Roman" w:cs="Times New Roman"/>
          <w:color w:val="000000"/>
          <w:sz w:val="24"/>
        </w:rPr>
        <w:t xml:space="preserve"> published). These are retrospective, stdout-reproduced support without structured result objects or automated numerical guards. In-house gates remain </w:t>
      </w:r>
      <w:r>
        <w:rPr>
          <w:rFonts w:ascii="Times New Roman" w:hAnsi="Times New Roman" w:eastAsia="Times New Roman" w:cs="Times New Roman"/>
          <w:color w:val="000000"/>
          <w:sz w:val="24"/>
        </w:rPr>
        <w:t>awaiting_human_signoff</w:t>
      </w:r>
      <w:r>
        <w:rPr>
          <w:rFonts w:ascii="Times New Roman" w:hAnsi="Times New Roman" w:eastAsia="Times New Roman" w:cs="Times New Roman"/>
          <w:color w:val="000000"/>
          <w:sz w:val="24"/>
        </w:rPr>
        <w:t>; neither dataset is a prospective SPADE campaign.</w:t>
      </w:r>
    </w:p>
    <w:p>
      <w:pPr>
        <w:pStyle w:val="Heading1"/>
      </w:pPr>
      <w:r>
        <w:rPr>
          <w:rFonts w:ascii="Times New Roman" w:hAnsi="Times New Roman" w:eastAsia="Times New Roman" w:cs="Times New Roman"/>
          <w:color w:val="000000"/>
          <w:sz w:val="24"/>
        </w:rPr>
        <w:t>4. Discussion</w:t>
      </w:r>
    </w:p>
    <w:p>
      <w:r>
        <w:rPr>
          <w:rFonts w:ascii="Times New Roman" w:hAnsi="Times New Roman" w:eastAsia="Times New Roman" w:cs="Times New Roman"/>
          <w:color w:val="000000"/>
          <w:sz w:val="24"/>
        </w:rPr>
        <w:t>This study separates point optimization from a conditional regional decision. With 48 wells, screened DoE found a better point recipe in fewer rounds, and qLogNEI showed no detectable regret difference from SPADE. SPADE instead yielded greater conservative-set volume at matched five rounds and perfect observed containment among its answered DC regions. Optimization and certification are complementary objectives, not one ranking.</w:t>
      </w:r>
    </w:p>
    <w:p>
      <w:r>
        <w:rPr>
          <w:rFonts w:ascii="Times New Roman" w:hAnsi="Times New Roman" w:eastAsia="Times New Roman" w:cs="Times New Roman"/>
          <w:color w:val="000000"/>
          <w:sz w:val="24"/>
        </w:rPr>
        <w:t xml:space="preserve">The core mathematics is prior art. GP level-set learning, batch SUR, random excursion sets, Vorob'ev summaries, and simultaneous excursion probabilities are established [1--8]. Azzimonti </w:t>
      </w:r>
      <w:r>
        <w:rPr>
          <w:rFonts w:ascii="Times New Roman" w:hAnsi="Times New Roman" w:eastAsia="Times New Roman" w:cs="Times New Roman"/>
          <w:i/>
          <w:color w:val="000000"/>
          <w:sz w:val="24"/>
        </w:rPr>
        <w:t>et al.</w:t>
      </w:r>
      <w:r>
        <w:rPr>
          <w:rFonts w:ascii="Times New Roman" w:hAnsi="Times New Roman" w:eastAsia="Times New Roman" w:cs="Times New Roman"/>
          <w:color w:val="000000"/>
          <w:sz w:val="24"/>
        </w:rPr>
        <w:t xml:space="preserve"> [4] are especially close: their estimator already maximizes volume over nested Vorob'ev candidates under posterior set inclusion. SPADE's contribution is the fixed-well assay adaptation, empirical inflation protocols, common comparator scoring, explicit abstention, and bounded evaluation.</w:t>
      </w:r>
    </w:p>
    <w:p>
      <w:r>
        <w:rPr>
          <w:rFonts w:ascii="Times New Roman" w:hAnsi="Times New Roman" w:eastAsia="Times New Roman" w:cs="Times New Roman"/>
          <w:color w:val="000000"/>
          <w:sz w:val="24"/>
        </w:rPr>
        <w:t>Abstention is central. Perfect containment can coexist with few answers, while frequent answers can be over-confident. Hill shows why answered and contained counts must travel together: qLogNEI's 27/27 contained answers do not support saying BO could not certify. This reporting follows established rejection principles [21,22] without claiming abstention as novel.</w:t>
      </w:r>
    </w:p>
    <w:p>
      <w:r>
        <w:rPr>
          <w:rFonts w:ascii="Times New Roman" w:hAnsi="Times New Roman" w:eastAsia="Times New Roman" w:cs="Times New Roman"/>
          <w:color w:val="000000"/>
          <w:sz w:val="24"/>
        </w:rPr>
        <w:t xml:space="preserve">Inference remains conditional. LC/C3 holds out a family for inflation selection. DC/C2 selects SPADE's </w:t>
      </w:r>
      <w:r>
        <w:rPr>
          <w:rFonts w:ascii="Times New Roman" w:hAnsi="Times New Roman" w:eastAsia="Times New Roman" w:cs="Times New Roman"/>
          <w:color w:val="000000"/>
          <w:sz w:val="24"/>
        </w:rPr>
        <w:t>c=1</w:t>
      </w:r>
      <w:r>
        <w:rPr>
          <w:rFonts w:ascii="Times New Roman" w:hAnsi="Times New Roman" w:eastAsia="Times New Roman" w:cs="Times New Roman"/>
          <w:color w:val="000000"/>
          <w:sz w:val="24"/>
        </w:rPr>
        <w:t xml:space="preserve"> in the same data, while neither DoE arm passes and both are diagnosed at baseline </w:t>
      </w:r>
      <w:r>
        <w:rPr>
          <w:rFonts w:ascii="Times New Roman" w:hAnsi="Times New Roman" w:eastAsia="Times New Roman" w:cs="Times New Roman"/>
          <w:color w:val="000000"/>
          <w:sz w:val="24"/>
        </w:rPr>
        <w:t>c=1</w:t>
      </w:r>
      <w:r>
        <w:rPr>
          <w:rFonts w:ascii="Times New Roman" w:hAnsi="Times New Roman" w:eastAsia="Times New Roman" w:cs="Times New Roman"/>
          <w:color w:val="000000"/>
          <w:sz w:val="24"/>
        </w:rPr>
        <w:t>. Neither procedure converts nominal posterior assurance into repeated-campaign coverage. Flat bootstrap rows share families, landscapes, seeds, and prevalences, while pooled Clopper--Pearson summaries assume an ordinary binomial model [20]. Cluster- or hierarchy-aware analyses are needed for population claims.</w:t>
      </w:r>
    </w:p>
    <w:p>
      <w:r>
        <w:rPr>
          <w:rFonts w:ascii="Times New Roman" w:hAnsi="Times New Roman" w:eastAsia="Times New Roman" w:cs="Times New Roman"/>
          <w:color w:val="000000"/>
          <w:sz w:val="24"/>
        </w:rPr>
        <w:t>The failed target-aligned mechanism shows that plausibility did not translate to aggregate benefit and harmed regret. It argues against complexity without empirical adoption criteria. Noise is the main biological barrier: headline benchmarks use relative noise 0.25, whereas no tested arm certified near measured real-assay noise 0.68 in the retained exploratory ceiling analysis. Hill was not fitted to endothelial data; in-house CD31 gates await review; and LOO prediction does not identify latent-function uncertainty. Replicate tubes and a prospective prespecified campaign are required.</w:t>
      </w:r>
    </w:p>
    <w:p>
      <w:r>
        <w:rPr>
          <w:rFonts w:ascii="Times New Roman" w:hAnsi="Times New Roman" w:eastAsia="Times New Roman" w:cs="Times New Roman"/>
          <w:color w:val="000000"/>
          <w:sz w:val="24"/>
        </w:rPr>
        <w:t>Comparator and operational scope are limited. qLogNEI is one BO acquisition. The DoE comparator is one low-order workflow. Wells were constant but rounds ranged from one to ten; operational benefit cannot be inferred without measured time or cost. R4, broader assurance/Vorob'ev-level sweeps, larger budgets, new families/noise regimes, and continuous-domain validation remain open. The returned object is a candidate operating region, not an ICH/FDA-qualified design space, process validation, or control strategy [15,16].</w:t>
      </w:r>
    </w:p>
    <w:p>
      <w:pPr>
        <w:pStyle w:val="Heading1"/>
      </w:pPr>
      <w:r>
        <w:rPr>
          <w:rFonts w:ascii="Times New Roman" w:hAnsi="Times New Roman" w:eastAsia="Times New Roman" w:cs="Times New Roman"/>
          <w:color w:val="000000"/>
          <w:sz w:val="24"/>
        </w:rPr>
        <w:t>5. Conclusion</w:t>
      </w:r>
    </w:p>
    <w:p>
      <w:r>
        <w:rPr>
          <w:rFonts w:ascii="Times New Roman" w:hAnsi="Times New Roman" w:eastAsia="Times New Roman" w:cs="Times New Roman"/>
          <w:color w:val="000000"/>
          <w:sz w:val="24"/>
        </w:rPr>
        <w:t>At 48 wells and relative noise 0.25, SPADE showed no detectable regret difference from one qLogNEI implementation, returned greater conservative-set volume at matched five rounds, and showed perfect observed containment among answered regions where the tested DoE pipelines were over-confident. DoE nevertheless found a better point recipe in fewer rounds, and SPADE sometimes abstained. The bounded lesson is to distinguish point optimization from regional certification, permit an empty answer, and report answer rate with conditional containment. Prospective biological validation and dependence-aware inference remain necessary.</w:t>
      </w:r>
    </w:p>
    <w:p>
      <w:pPr>
        <w:pStyle w:val="Heading1"/>
      </w:pPr>
      <w:r>
        <w:rPr>
          <w:rFonts w:ascii="Times New Roman" w:hAnsi="Times New Roman" w:eastAsia="Times New Roman" w:cs="Times New Roman"/>
          <w:color w:val="000000"/>
          <w:sz w:val="24"/>
        </w:rPr>
        <w:t>Data and code availability</w:t>
      </w:r>
    </w:p>
    <w:p>
      <w:r>
        <w:rPr>
          <w:rFonts w:ascii="Times New Roman" w:hAnsi="Times New Roman" w:eastAsia="Times New Roman" w:cs="Times New Roman"/>
          <w:color w:val="000000"/>
          <w:sz w:val="24"/>
        </w:rPr>
        <w:t xml:space="preserve">Canonical synthetic results, frozen protocols, analysis scripts, selected-value guard, and audit ledgers are included in this repository; commands are listed in </w:t>
      </w:r>
      <w:r>
        <w:rPr>
          <w:rFonts w:ascii="Times New Roman" w:hAnsi="Times New Roman" w:eastAsia="Times New Roman" w:cs="Times New Roman"/>
          <w:color w:val="000000"/>
          <w:sz w:val="24"/>
        </w:rPr>
        <w:t>publication/evidence/reproduction-map.md</w:t>
      </w:r>
      <w:r>
        <w:rPr>
          <w:rFonts w:ascii="Times New Roman" w:hAnsi="Times New Roman" w:eastAsia="Times New Roman" w:cs="Times New Roman"/>
          <w:color w:val="000000"/>
          <w:sz w:val="24"/>
        </w:rPr>
        <w:t>. The guard covers selected C1 and C3--C6 scalars, not every number or inferential assumption. In-house data are retained with checksums and role annotations; access, reuse, licensing, and laboratory policy require author/institutional confirmation. Historical figures are not current evidence; the current figure package is pending.</w:t>
      </w:r>
    </w:p>
    <w:p>
      <w:pPr>
        <w:pStyle w:val="Heading1"/>
      </w:pPr>
      <w:r>
        <w:rPr>
          <w:rFonts w:ascii="Times New Roman" w:hAnsi="Times New Roman" w:eastAsia="Times New Roman" w:cs="Times New Roman"/>
          <w:color w:val="000000"/>
          <w:sz w:val="24"/>
        </w:rPr>
        <w:t>Declarations requiring author or journal completion</w:t>
      </w:r>
    </w:p>
    <w:p>
      <w:r>
        <w:rPr>
          <w:rFonts w:ascii="Times New Roman" w:hAnsi="Times New Roman" w:eastAsia="Times New Roman" w:cs="Times New Roman"/>
          <w:color w:val="000000"/>
          <w:sz w:val="24"/>
        </w:rPr>
        <w:t>The following metadata were not available and are not inferred:</w:t>
      </w:r>
    </w:p>
    <w:p>
      <w:pPr>
        <w:spacing w:line="276" w:lineRule="auto" w:after="40"/>
        <w:ind w:left="360" w:hanging="288"/>
      </w:pPr>
      <w:r>
        <w:rPr>
          <w:rFonts w:ascii="Times New Roman" w:hAnsi="Times New Roman" w:eastAsia="Times New Roman" w:cs="Times New Roman"/>
          <w:color w:val="000000"/>
          <w:sz w:val="22"/>
        </w:rPr>
        <w:t>☐ Authors, affiliations, corresponding author, and ORCIDs.</w:t>
      </w:r>
    </w:p>
    <w:p>
      <w:pPr>
        <w:spacing w:line="276" w:lineRule="auto" w:after="40"/>
        <w:ind w:left="360" w:hanging="288"/>
      </w:pPr>
      <w:r>
        <w:rPr>
          <w:rFonts w:ascii="Times New Roman" w:hAnsi="Times New Roman" w:eastAsia="Times New Roman" w:cs="Times New Roman"/>
          <w:color w:val="000000"/>
          <w:sz w:val="22"/>
        </w:rPr>
        <w:t>☐ CRediT contributions approved by all authors.</w:t>
      </w:r>
    </w:p>
    <w:p>
      <w:pPr>
        <w:spacing w:line="276" w:lineRule="auto" w:after="40"/>
        <w:ind w:left="360" w:hanging="288"/>
      </w:pPr>
      <w:r>
        <w:rPr>
          <w:rFonts w:ascii="Times New Roman" w:hAnsi="Times New Roman" w:eastAsia="Times New Roman" w:cs="Times New Roman"/>
          <w:color w:val="000000"/>
          <w:sz w:val="22"/>
        </w:rPr>
        <w:t>☐ Funding/grant identifiers or explicit no-funding statement.</w:t>
      </w:r>
    </w:p>
    <w:p>
      <w:pPr>
        <w:spacing w:line="276" w:lineRule="auto" w:after="40"/>
        <w:ind w:left="360" w:hanging="288"/>
      </w:pPr>
      <w:r>
        <w:rPr>
          <w:rFonts w:ascii="Times New Roman" w:hAnsi="Times New Roman" w:eastAsia="Times New Roman" w:cs="Times New Roman"/>
          <w:color w:val="000000"/>
          <w:sz w:val="22"/>
        </w:rPr>
        <w:t>☐ Competing interests for every author.</w:t>
      </w:r>
    </w:p>
    <w:p>
      <w:pPr>
        <w:spacing w:line="276" w:lineRule="auto" w:after="40"/>
        <w:ind w:left="360" w:hanging="288"/>
      </w:pPr>
      <w:r>
        <w:rPr>
          <w:rFonts w:ascii="Times New Roman" w:hAnsi="Times New Roman" w:eastAsia="Times New Roman" w:cs="Times New Roman"/>
          <w:color w:val="000000"/>
          <w:sz w:val="22"/>
        </w:rPr>
        <w:t>☐ Ethics oversight/approval or exemption for in-house human-derived cell material, and any required consent statement.</w:t>
      </w:r>
    </w:p>
    <w:p>
      <w:pPr>
        <w:spacing w:line="276" w:lineRule="auto" w:after="40"/>
        <w:ind w:left="360" w:hanging="288"/>
      </w:pPr>
      <w:r>
        <w:rPr>
          <w:rFonts w:ascii="Times New Roman" w:hAnsi="Times New Roman" w:eastAsia="Times New Roman" w:cs="Times New Roman"/>
          <w:color w:val="000000"/>
          <w:sz w:val="22"/>
        </w:rPr>
        <w:t>☐ Data restrictions, repository identifiers, and release license reconciled with laboratory policy.</w:t>
      </w:r>
    </w:p>
    <w:p>
      <w:pPr>
        <w:spacing w:line="276" w:lineRule="auto" w:after="40"/>
        <w:ind w:left="360" w:hanging="288"/>
      </w:pPr>
      <w:r>
        <w:rPr>
          <w:rFonts w:ascii="Times New Roman" w:hAnsi="Times New Roman" w:eastAsia="Times New Roman" w:cs="Times New Roman"/>
          <w:color w:val="000000"/>
          <w:sz w:val="22"/>
        </w:rPr>
        <w:t>☐ Code archive DOI/version, license, and submitted environment record.</w:t>
      </w:r>
    </w:p>
    <w:p>
      <w:pPr>
        <w:spacing w:line="276" w:lineRule="auto" w:after="40"/>
        <w:ind w:left="360" w:hanging="288"/>
      </w:pPr>
      <w:r>
        <w:rPr>
          <w:rFonts w:ascii="Times New Roman" w:hAnsi="Times New Roman" w:eastAsia="Times New Roman" w:cs="Times New Roman"/>
          <w:color w:val="000000"/>
          <w:sz w:val="22"/>
        </w:rPr>
        <w:t>☐ Acknowledgements, material-transfer terms, and third-party permissions.</w:t>
      </w:r>
    </w:p>
    <w:p>
      <w:pPr>
        <w:spacing w:line="276" w:lineRule="auto" w:after="40"/>
        <w:ind w:left="360" w:hanging="288"/>
      </w:pPr>
      <w:r>
        <w:rPr>
          <w:rFonts w:ascii="Times New Roman" w:hAnsi="Times New Roman" w:eastAsia="Times New Roman" w:cs="Times New Roman"/>
          <w:color w:val="000000"/>
          <w:sz w:val="22"/>
        </w:rPr>
        <w:t>☐ Target-journal AI-use, protocol-registration, reporting-guideline, and source-data statements.</w:t>
      </w:r>
    </w:p>
    <w:p>
      <w:pPr>
        <w:pStyle w:val="Heading1"/>
        <w:pageBreakBefore/>
      </w:pPr>
      <w:r>
        <w:rPr>
          <w:rFonts w:ascii="Times New Roman" w:hAnsi="Times New Roman" w:eastAsia="Times New Roman" w:cs="Times New Roman"/>
          <w:color w:val="000000"/>
          <w:sz w:val="24"/>
        </w:rPr>
        <w:t>References</w:t>
      </w:r>
    </w:p>
    <w:p>
      <w:pPr>
        <w:spacing w:line="240" w:lineRule="auto" w:after="80"/>
        <w:ind w:left="360" w:hanging="360"/>
      </w:pPr>
      <w:r>
        <w:rPr>
          <w:rFonts w:ascii="Times New Roman" w:hAnsi="Times New Roman" w:eastAsia="Times New Roman" w:cs="Times New Roman"/>
          <w:color w:val="000000"/>
          <w:sz w:val="20"/>
        </w:rPr>
        <w:t xml:space="preserve">1. Gotovos A, Casati N, Hitz G, Krause A. Active learning for level set estimation. </w:t>
      </w:r>
      <w:r>
        <w:rPr>
          <w:rFonts w:ascii="Times New Roman" w:hAnsi="Times New Roman" w:eastAsia="Times New Roman" w:cs="Times New Roman"/>
          <w:i/>
          <w:color w:val="000000"/>
          <w:sz w:val="20"/>
        </w:rPr>
        <w:t>IJCAI</w:t>
      </w:r>
      <w:r>
        <w:rPr>
          <w:rFonts w:ascii="Times New Roman" w:hAnsi="Times New Roman" w:eastAsia="Times New Roman" w:cs="Times New Roman"/>
          <w:color w:val="000000"/>
          <w:sz w:val="20"/>
        </w:rPr>
        <w:t>. 2013:1344--1350. https://www.ijcai.org/Proceedings/13/Papers/202.pdf</w:t>
      </w:r>
    </w:p>
    <w:p>
      <w:pPr>
        <w:spacing w:line="240" w:lineRule="auto" w:after="80"/>
        <w:ind w:left="360" w:hanging="360"/>
      </w:pPr>
      <w:r>
        <w:rPr>
          <w:rFonts w:ascii="Times New Roman" w:hAnsi="Times New Roman" w:eastAsia="Times New Roman" w:cs="Times New Roman"/>
          <w:color w:val="000000"/>
          <w:sz w:val="20"/>
        </w:rPr>
        <w:t xml:space="preserve">2. Bect J, Ginsbourger D, Li L, Picheny V, Vazquez E. Sequential design of computer experiments for the estimation of a probability of failure. </w:t>
      </w:r>
      <w:r>
        <w:rPr>
          <w:rFonts w:ascii="Times New Roman" w:hAnsi="Times New Roman" w:eastAsia="Times New Roman" w:cs="Times New Roman"/>
          <w:i/>
          <w:color w:val="000000"/>
          <w:sz w:val="20"/>
        </w:rPr>
        <w:t>Stat Comput</w:t>
      </w:r>
      <w:r>
        <w:rPr>
          <w:rFonts w:ascii="Times New Roman" w:hAnsi="Times New Roman" w:eastAsia="Times New Roman" w:cs="Times New Roman"/>
          <w:color w:val="000000"/>
          <w:sz w:val="20"/>
        </w:rPr>
        <w:t>. 2012;22:773--793. https://doi.org/10.1007/s11222-011-9241-4</w:t>
      </w:r>
    </w:p>
    <w:p>
      <w:pPr>
        <w:spacing w:line="240" w:lineRule="auto" w:after="80"/>
        <w:ind w:left="360" w:hanging="360"/>
      </w:pPr>
      <w:r>
        <w:rPr>
          <w:rFonts w:ascii="Times New Roman" w:hAnsi="Times New Roman" w:eastAsia="Times New Roman" w:cs="Times New Roman"/>
          <w:color w:val="000000"/>
          <w:sz w:val="20"/>
        </w:rPr>
        <w:t xml:space="preserve">3. Chevalier C, Bect J, Ginsbourger D, et al. Fast parallel kriging-based stepwise uncertainty reduction with application to the identification of an excursion set. </w:t>
      </w:r>
      <w:r>
        <w:rPr>
          <w:rFonts w:ascii="Times New Roman" w:hAnsi="Times New Roman" w:eastAsia="Times New Roman" w:cs="Times New Roman"/>
          <w:i/>
          <w:color w:val="000000"/>
          <w:sz w:val="20"/>
        </w:rPr>
        <w:t>Technometrics</w:t>
      </w:r>
      <w:r>
        <w:rPr>
          <w:rFonts w:ascii="Times New Roman" w:hAnsi="Times New Roman" w:eastAsia="Times New Roman" w:cs="Times New Roman"/>
          <w:color w:val="000000"/>
          <w:sz w:val="20"/>
        </w:rPr>
        <w:t>. 2014;56:455--465. https://doi.org/10.1080/00401706.2013.860918</w:t>
      </w:r>
    </w:p>
    <w:p>
      <w:pPr>
        <w:spacing w:line="240" w:lineRule="auto" w:after="80"/>
        <w:ind w:left="360" w:hanging="360"/>
      </w:pPr>
      <w:r>
        <w:rPr>
          <w:rFonts w:ascii="Times New Roman" w:hAnsi="Times New Roman" w:eastAsia="Times New Roman" w:cs="Times New Roman"/>
          <w:color w:val="000000"/>
          <w:sz w:val="20"/>
        </w:rPr>
        <w:t xml:space="preserve">4. Azzimonti D, Ginsbourger D, Chevalier C, Bect J, Richet Y. Adaptive design of experiments for conservative estimation of excursion sets. </w:t>
      </w:r>
      <w:r>
        <w:rPr>
          <w:rFonts w:ascii="Times New Roman" w:hAnsi="Times New Roman" w:eastAsia="Times New Roman" w:cs="Times New Roman"/>
          <w:i/>
          <w:color w:val="000000"/>
          <w:sz w:val="20"/>
        </w:rPr>
        <w:t>Technometrics</w:t>
      </w:r>
      <w:r>
        <w:rPr>
          <w:rFonts w:ascii="Times New Roman" w:hAnsi="Times New Roman" w:eastAsia="Times New Roman" w:cs="Times New Roman"/>
          <w:color w:val="000000"/>
          <w:sz w:val="20"/>
        </w:rPr>
        <w:t>. 2021;63:13--26 (online 2019). https://doi.org/10.1080/00401706.2019.1693427</w:t>
      </w:r>
    </w:p>
    <w:p>
      <w:pPr>
        <w:spacing w:line="240" w:lineRule="auto" w:after="80"/>
        <w:ind w:left="360" w:hanging="360"/>
      </w:pPr>
      <w:r>
        <w:rPr>
          <w:rFonts w:ascii="Times New Roman" w:hAnsi="Times New Roman" w:eastAsia="Times New Roman" w:cs="Times New Roman"/>
          <w:color w:val="000000"/>
          <w:sz w:val="20"/>
        </w:rPr>
        <w:t xml:space="preserve">5. Heinrich P, Stoica RS, Tran VC. Level sets estimation and Vorob'ev expectation of random compact sets. </w:t>
      </w:r>
      <w:r>
        <w:rPr>
          <w:rFonts w:ascii="Times New Roman" w:hAnsi="Times New Roman" w:eastAsia="Times New Roman" w:cs="Times New Roman"/>
          <w:i/>
          <w:color w:val="000000"/>
          <w:sz w:val="20"/>
        </w:rPr>
        <w:t>Spatial Stat</w:t>
      </w:r>
      <w:r>
        <w:rPr>
          <w:rFonts w:ascii="Times New Roman" w:hAnsi="Times New Roman" w:eastAsia="Times New Roman" w:cs="Times New Roman"/>
          <w:color w:val="000000"/>
          <w:sz w:val="20"/>
        </w:rPr>
        <w:t>. 2012;2:47--61. https://doi.org/10.1016/j.spasta.2012.10.001</w:t>
      </w:r>
    </w:p>
    <w:p>
      <w:pPr>
        <w:spacing w:line="240" w:lineRule="auto" w:after="80"/>
        <w:ind w:left="360" w:hanging="360"/>
      </w:pPr>
      <w:r>
        <w:rPr>
          <w:rFonts w:ascii="Times New Roman" w:hAnsi="Times New Roman" w:eastAsia="Times New Roman" w:cs="Times New Roman"/>
          <w:color w:val="000000"/>
          <w:sz w:val="20"/>
        </w:rPr>
        <w:t xml:space="preserve">6. Chevalier C, Ginsbourger D, Bect J, Molchanov I. Estimating and quantifying uncertainties on level sets using the Vorob'ev expectation and deviation with Gaussian process models. In: </w:t>
      </w:r>
      <w:r>
        <w:rPr>
          <w:rFonts w:ascii="Times New Roman" w:hAnsi="Times New Roman" w:eastAsia="Times New Roman" w:cs="Times New Roman"/>
          <w:i/>
          <w:color w:val="000000"/>
          <w:sz w:val="20"/>
        </w:rPr>
        <w:t>mODa 10</w:t>
      </w:r>
      <w:r>
        <w:rPr>
          <w:rFonts w:ascii="Times New Roman" w:hAnsi="Times New Roman" w:eastAsia="Times New Roman" w:cs="Times New Roman"/>
          <w:color w:val="000000"/>
          <w:sz w:val="20"/>
        </w:rPr>
        <w:t>. Springer; 2013:35--43. https://doi.org/10.1007/978-3-319-00218-7_5</w:t>
      </w:r>
    </w:p>
    <w:p>
      <w:pPr>
        <w:spacing w:line="240" w:lineRule="auto" w:after="80"/>
        <w:ind w:left="360" w:hanging="360"/>
      </w:pPr>
      <w:r>
        <w:rPr>
          <w:rFonts w:ascii="Times New Roman" w:hAnsi="Times New Roman" w:eastAsia="Times New Roman" w:cs="Times New Roman"/>
          <w:color w:val="000000"/>
          <w:sz w:val="20"/>
        </w:rPr>
        <w:t xml:space="preserve">7. Azzimonti D, Bect J, Chevalier C, Ginsbourger D. Quantifying uncertainties on excursion sets under a Gaussian random field prior. </w:t>
      </w:r>
      <w:r>
        <w:rPr>
          <w:rFonts w:ascii="Times New Roman" w:hAnsi="Times New Roman" w:eastAsia="Times New Roman" w:cs="Times New Roman"/>
          <w:i/>
          <w:color w:val="000000"/>
          <w:sz w:val="20"/>
        </w:rPr>
        <w:t>SIAM/ASA J Uncertain Quantif</w:t>
      </w:r>
      <w:r>
        <w:rPr>
          <w:rFonts w:ascii="Times New Roman" w:hAnsi="Times New Roman" w:eastAsia="Times New Roman" w:cs="Times New Roman"/>
          <w:color w:val="000000"/>
          <w:sz w:val="20"/>
        </w:rPr>
        <w:t>. 2016;4:850--874. https://doi.org/10.1137/141000749</w:t>
      </w:r>
    </w:p>
    <w:p>
      <w:pPr>
        <w:spacing w:line="240" w:lineRule="auto" w:after="80"/>
        <w:ind w:left="360" w:hanging="360"/>
      </w:pPr>
      <w:r>
        <w:rPr>
          <w:rFonts w:ascii="Times New Roman" w:hAnsi="Times New Roman" w:eastAsia="Times New Roman" w:cs="Times New Roman"/>
          <w:color w:val="000000"/>
          <w:sz w:val="20"/>
        </w:rPr>
        <w:t xml:space="preserve">8. Bolin D, Lindgren F. Excursion and contour uncertainty regions for latent Gaussian models. </w:t>
      </w:r>
      <w:r>
        <w:rPr>
          <w:rFonts w:ascii="Times New Roman" w:hAnsi="Times New Roman" w:eastAsia="Times New Roman" w:cs="Times New Roman"/>
          <w:i/>
          <w:color w:val="000000"/>
          <w:sz w:val="20"/>
        </w:rPr>
        <w:t>J R Stat Soc B</w:t>
      </w:r>
      <w:r>
        <w:rPr>
          <w:rFonts w:ascii="Times New Roman" w:hAnsi="Times New Roman" w:eastAsia="Times New Roman" w:cs="Times New Roman"/>
          <w:color w:val="000000"/>
          <w:sz w:val="20"/>
        </w:rPr>
        <w:t>. 2015;77:85--106. https://doi.org/10.1111/rssb.12055</w:t>
      </w:r>
    </w:p>
    <w:p>
      <w:pPr>
        <w:spacing w:line="240" w:lineRule="auto" w:after="80"/>
        <w:ind w:left="360" w:hanging="360"/>
      </w:pPr>
      <w:r>
        <w:rPr>
          <w:rFonts w:ascii="Times New Roman" w:hAnsi="Times New Roman" w:eastAsia="Times New Roman" w:cs="Times New Roman"/>
          <w:color w:val="000000"/>
          <w:sz w:val="20"/>
        </w:rPr>
        <w:t xml:space="preserve">9. Jones DR, Schonlau M, Welch WJ. Efficient global optimization of expensive black-box functions. </w:t>
      </w:r>
      <w:r>
        <w:rPr>
          <w:rFonts w:ascii="Times New Roman" w:hAnsi="Times New Roman" w:eastAsia="Times New Roman" w:cs="Times New Roman"/>
          <w:i/>
          <w:color w:val="000000"/>
          <w:sz w:val="20"/>
        </w:rPr>
        <w:t>J Glob Optim</w:t>
      </w:r>
      <w:r>
        <w:rPr>
          <w:rFonts w:ascii="Times New Roman" w:hAnsi="Times New Roman" w:eastAsia="Times New Roman" w:cs="Times New Roman"/>
          <w:color w:val="000000"/>
          <w:sz w:val="20"/>
        </w:rPr>
        <w:t>. 1998;13:455--492. https://doi.org/10.1023/A:1008306431147</w:t>
      </w:r>
    </w:p>
    <w:p>
      <w:pPr>
        <w:spacing w:line="240" w:lineRule="auto" w:after="80"/>
        <w:ind w:left="360" w:hanging="360"/>
      </w:pPr>
      <w:r>
        <w:rPr>
          <w:rFonts w:ascii="Times New Roman" w:hAnsi="Times New Roman" w:eastAsia="Times New Roman" w:cs="Times New Roman"/>
          <w:color w:val="000000"/>
          <w:sz w:val="20"/>
        </w:rPr>
        <w:t xml:space="preserve">10. Letham B, Karrer B, Ottoni G, Bakshy E. Constrained Bayesian optimization with noisy experiments. </w:t>
      </w:r>
      <w:r>
        <w:rPr>
          <w:rFonts w:ascii="Times New Roman" w:hAnsi="Times New Roman" w:eastAsia="Times New Roman" w:cs="Times New Roman"/>
          <w:i/>
          <w:color w:val="000000"/>
          <w:sz w:val="20"/>
        </w:rPr>
        <w:t>Bayesian Anal</w:t>
      </w:r>
      <w:r>
        <w:rPr>
          <w:rFonts w:ascii="Times New Roman" w:hAnsi="Times New Roman" w:eastAsia="Times New Roman" w:cs="Times New Roman"/>
          <w:color w:val="000000"/>
          <w:sz w:val="20"/>
        </w:rPr>
        <w:t>. 2019;14:495--519. https://doi.org/10.1214/18-BA1110</w:t>
      </w:r>
    </w:p>
    <w:p>
      <w:pPr>
        <w:spacing w:line="240" w:lineRule="auto" w:after="80"/>
        <w:ind w:left="360" w:hanging="360"/>
      </w:pPr>
      <w:r>
        <w:rPr>
          <w:rFonts w:ascii="Times New Roman" w:hAnsi="Times New Roman" w:eastAsia="Times New Roman" w:cs="Times New Roman"/>
          <w:color w:val="000000"/>
          <w:sz w:val="20"/>
        </w:rPr>
        <w:t xml:space="preserve">11. Balandat M, Karrer B, Jiang DR, et al. BoTorch: a framework for efficient Monte-Carlo Bayesian optimization. </w:t>
      </w:r>
      <w:r>
        <w:rPr>
          <w:rFonts w:ascii="Times New Roman" w:hAnsi="Times New Roman" w:eastAsia="Times New Roman" w:cs="Times New Roman"/>
          <w:i/>
          <w:color w:val="000000"/>
          <w:sz w:val="20"/>
        </w:rPr>
        <w:t>NeurIPS</w:t>
      </w:r>
      <w:r>
        <w:rPr>
          <w:rFonts w:ascii="Times New Roman" w:hAnsi="Times New Roman" w:eastAsia="Times New Roman" w:cs="Times New Roman"/>
          <w:color w:val="000000"/>
          <w:sz w:val="20"/>
        </w:rPr>
        <w:t>. 2020;33:21524--21538.</w:t>
      </w:r>
    </w:p>
    <w:p>
      <w:pPr>
        <w:spacing w:line="240" w:lineRule="auto" w:after="80"/>
        <w:ind w:left="360" w:hanging="360"/>
      </w:pPr>
      <w:r>
        <w:rPr>
          <w:rFonts w:ascii="Times New Roman" w:hAnsi="Times New Roman" w:eastAsia="Times New Roman" w:cs="Times New Roman"/>
          <w:color w:val="000000"/>
          <w:sz w:val="20"/>
        </w:rPr>
        <w:t xml:space="preserve">12. Ament S, Daulton S, Eriksson D, Balandat M, Bakshy E. Unexpected improvements to expected improvement for Bayesian optimization. </w:t>
      </w:r>
      <w:r>
        <w:rPr>
          <w:rFonts w:ascii="Times New Roman" w:hAnsi="Times New Roman" w:eastAsia="Times New Roman" w:cs="Times New Roman"/>
          <w:i/>
          <w:color w:val="000000"/>
          <w:sz w:val="20"/>
        </w:rPr>
        <w:t>NeurIPS</w:t>
      </w:r>
      <w:r>
        <w:rPr>
          <w:rFonts w:ascii="Times New Roman" w:hAnsi="Times New Roman" w:eastAsia="Times New Roman" w:cs="Times New Roman"/>
          <w:color w:val="000000"/>
          <w:sz w:val="20"/>
        </w:rPr>
        <w:t>. 2023;36:20577--20612.</w:t>
      </w:r>
    </w:p>
    <w:p>
      <w:pPr>
        <w:spacing w:line="240" w:lineRule="auto" w:after="80"/>
        <w:ind w:left="360" w:hanging="360"/>
      </w:pPr>
      <w:r>
        <w:rPr>
          <w:rFonts w:ascii="Times New Roman" w:hAnsi="Times New Roman" w:eastAsia="Times New Roman" w:cs="Times New Roman"/>
          <w:color w:val="000000"/>
          <w:sz w:val="20"/>
        </w:rPr>
        <w:t xml:space="preserve">13. Box GEP, Wilson KB. On the experimental attainment of optimum conditions. </w:t>
      </w:r>
      <w:r>
        <w:rPr>
          <w:rFonts w:ascii="Times New Roman" w:hAnsi="Times New Roman" w:eastAsia="Times New Roman" w:cs="Times New Roman"/>
          <w:i/>
          <w:color w:val="000000"/>
          <w:sz w:val="20"/>
        </w:rPr>
        <w:t>J R Stat Soc B</w:t>
      </w:r>
      <w:r>
        <w:rPr>
          <w:rFonts w:ascii="Times New Roman" w:hAnsi="Times New Roman" w:eastAsia="Times New Roman" w:cs="Times New Roman"/>
          <w:color w:val="000000"/>
          <w:sz w:val="20"/>
        </w:rPr>
        <w:t>. 1951;13:1--38. https://doi.org/10.1111/j.2517-6161.1951.tb00067.x</w:t>
      </w:r>
    </w:p>
    <w:p>
      <w:pPr>
        <w:spacing w:line="240" w:lineRule="auto" w:after="80"/>
        <w:ind w:left="360" w:hanging="360"/>
      </w:pPr>
      <w:r>
        <w:rPr>
          <w:rFonts w:ascii="Times New Roman" w:hAnsi="Times New Roman" w:eastAsia="Times New Roman" w:cs="Times New Roman"/>
          <w:color w:val="000000"/>
          <w:sz w:val="20"/>
        </w:rPr>
        <w:t xml:space="preserve">14. National Institute of Standards and Technology. </w:t>
      </w:r>
      <w:r>
        <w:rPr>
          <w:rFonts w:ascii="Times New Roman" w:hAnsi="Times New Roman" w:eastAsia="Times New Roman" w:cs="Times New Roman"/>
          <w:i/>
          <w:color w:val="000000"/>
          <w:sz w:val="20"/>
        </w:rPr>
        <w:t>NIST/SEMATECH e-Handbook of Statistical Methods</w:t>
      </w:r>
      <w:r>
        <w:rPr>
          <w:rFonts w:ascii="Times New Roman" w:hAnsi="Times New Roman" w:eastAsia="Times New Roman" w:cs="Times New Roman"/>
          <w:color w:val="000000"/>
          <w:sz w:val="20"/>
        </w:rPr>
        <w:t>, sec. 5.3.3. Accessed 2026-09-02. https://www.itl.nist.gov/div898/handbook/pri/section3/pri33.htm</w:t>
      </w:r>
    </w:p>
    <w:p>
      <w:pPr>
        <w:spacing w:line="240" w:lineRule="auto" w:after="80"/>
        <w:ind w:left="360" w:hanging="360"/>
      </w:pPr>
      <w:r>
        <w:rPr>
          <w:rFonts w:ascii="Times New Roman" w:hAnsi="Times New Roman" w:eastAsia="Times New Roman" w:cs="Times New Roman"/>
          <w:color w:val="000000"/>
          <w:sz w:val="20"/>
        </w:rPr>
        <w:t xml:space="preserve">15. International Council for Harmonisation. </w:t>
      </w:r>
      <w:r>
        <w:rPr>
          <w:rFonts w:ascii="Times New Roman" w:hAnsi="Times New Roman" w:eastAsia="Times New Roman" w:cs="Times New Roman"/>
          <w:i/>
          <w:color w:val="000000"/>
          <w:sz w:val="20"/>
        </w:rPr>
        <w:t>ICH Q8(R2): Pharmaceutical Development</w:t>
      </w:r>
      <w:r>
        <w:rPr>
          <w:rFonts w:ascii="Times New Roman" w:hAnsi="Times New Roman" w:eastAsia="Times New Roman" w:cs="Times New Roman"/>
          <w:color w:val="000000"/>
          <w:sz w:val="20"/>
        </w:rPr>
        <w:t>. 2009. https://database.ich.org/sites/default/files/Q8_R2_Guideline.pdf</w:t>
      </w:r>
    </w:p>
    <w:p>
      <w:pPr>
        <w:spacing w:line="240" w:lineRule="auto" w:after="80"/>
        <w:ind w:left="360" w:hanging="360"/>
      </w:pPr>
      <w:r>
        <w:rPr>
          <w:rFonts w:ascii="Times New Roman" w:hAnsi="Times New Roman" w:eastAsia="Times New Roman" w:cs="Times New Roman"/>
          <w:color w:val="000000"/>
          <w:sz w:val="20"/>
        </w:rPr>
        <w:t xml:space="preserve">16. US Food and Drug Administration. </w:t>
      </w:r>
      <w:r>
        <w:rPr>
          <w:rFonts w:ascii="Times New Roman" w:hAnsi="Times New Roman" w:eastAsia="Times New Roman" w:cs="Times New Roman"/>
          <w:i/>
          <w:color w:val="000000"/>
          <w:sz w:val="20"/>
        </w:rPr>
        <w:t>Q8, Q9, &amp; Q10 Questions and Answers--Appendix</w:t>
      </w:r>
      <w:r>
        <w:rPr>
          <w:rFonts w:ascii="Times New Roman" w:hAnsi="Times New Roman" w:eastAsia="Times New Roman" w:cs="Times New Roman"/>
          <w:color w:val="000000"/>
          <w:sz w:val="20"/>
        </w:rPr>
        <w:t>. Accessed 2026-09-02. https://www.fda.gov/regulatory-information/search-fda-guidance-documents/q8-q9-q10-questions-and-answers-appendix-qas-training-sessions-q8-q9-q10-points-consider</w:t>
      </w:r>
    </w:p>
    <w:p>
      <w:pPr>
        <w:spacing w:line="240" w:lineRule="auto" w:after="80"/>
        <w:ind w:left="360" w:hanging="360"/>
      </w:pPr>
      <w:r>
        <w:rPr>
          <w:rFonts w:ascii="Times New Roman" w:hAnsi="Times New Roman" w:eastAsia="Times New Roman" w:cs="Times New Roman"/>
          <w:color w:val="000000"/>
          <w:sz w:val="20"/>
        </w:rPr>
        <w:t xml:space="preserve">17. Dawid AP. The well-calibrated Bayesian. </w:t>
      </w:r>
      <w:r>
        <w:rPr>
          <w:rFonts w:ascii="Times New Roman" w:hAnsi="Times New Roman" w:eastAsia="Times New Roman" w:cs="Times New Roman"/>
          <w:i/>
          <w:color w:val="000000"/>
          <w:sz w:val="20"/>
        </w:rPr>
        <w:t>J Am Stat Assoc</w:t>
      </w:r>
      <w:r>
        <w:rPr>
          <w:rFonts w:ascii="Times New Roman" w:hAnsi="Times New Roman" w:eastAsia="Times New Roman" w:cs="Times New Roman"/>
          <w:color w:val="000000"/>
          <w:sz w:val="20"/>
        </w:rPr>
        <w:t>. 1982;77:605--610. https://doi.org/10.1080/01621459.1982.10477856</w:t>
      </w:r>
    </w:p>
    <w:p>
      <w:pPr>
        <w:spacing w:line="240" w:lineRule="auto" w:after="80"/>
        <w:ind w:left="360" w:hanging="360"/>
      </w:pPr>
      <w:r>
        <w:rPr>
          <w:rFonts w:ascii="Times New Roman" w:hAnsi="Times New Roman" w:eastAsia="Times New Roman" w:cs="Times New Roman"/>
          <w:color w:val="000000"/>
          <w:sz w:val="20"/>
        </w:rPr>
        <w:t xml:space="preserve">18. Hadji A, Szabo B. Can we trust Bayesian uncertainty quantification from Gaussian process priors with squared exponential covariance kernel? </w:t>
      </w:r>
      <w:r>
        <w:rPr>
          <w:rFonts w:ascii="Times New Roman" w:hAnsi="Times New Roman" w:eastAsia="Times New Roman" w:cs="Times New Roman"/>
          <w:i/>
          <w:color w:val="000000"/>
          <w:sz w:val="20"/>
        </w:rPr>
        <w:t>SIAM/ASA J Uncertain Quantif</w:t>
      </w:r>
      <w:r>
        <w:rPr>
          <w:rFonts w:ascii="Times New Roman" w:hAnsi="Times New Roman" w:eastAsia="Times New Roman" w:cs="Times New Roman"/>
          <w:color w:val="000000"/>
          <w:sz w:val="20"/>
        </w:rPr>
        <w:t>. 2021;9:185--230. https://doi.org/10.1137/19M1253010</w:t>
      </w:r>
    </w:p>
    <w:p>
      <w:pPr>
        <w:spacing w:line="240" w:lineRule="auto" w:after="80"/>
        <w:ind w:left="360" w:hanging="360"/>
      </w:pPr>
      <w:r>
        <w:rPr>
          <w:rFonts w:ascii="Times New Roman" w:hAnsi="Times New Roman" w:eastAsia="Times New Roman" w:cs="Times New Roman"/>
          <w:color w:val="000000"/>
          <w:sz w:val="20"/>
        </w:rPr>
        <w:t>19. Talts S, Betancourt M, Simpson D, Vehtari A, Gelman A. Validating Bayesian inference algorithms with simulation-based calibration. arXiv:1804.06788. 2018. https://doi.org/10.48550/arXiv.1804.06788</w:t>
      </w:r>
    </w:p>
    <w:p>
      <w:pPr>
        <w:spacing w:line="240" w:lineRule="auto" w:after="80"/>
        <w:ind w:left="360" w:hanging="360"/>
      </w:pPr>
      <w:r>
        <w:rPr>
          <w:rFonts w:ascii="Times New Roman" w:hAnsi="Times New Roman" w:eastAsia="Times New Roman" w:cs="Times New Roman"/>
          <w:color w:val="000000"/>
          <w:sz w:val="20"/>
        </w:rPr>
        <w:t xml:space="preserve">20. Clopper CJ, Pearson ES. The use of confidence or fiducial limits illustrated in the case of the binomial. </w:t>
      </w:r>
      <w:r>
        <w:rPr>
          <w:rFonts w:ascii="Times New Roman" w:hAnsi="Times New Roman" w:eastAsia="Times New Roman" w:cs="Times New Roman"/>
          <w:i/>
          <w:color w:val="000000"/>
          <w:sz w:val="20"/>
        </w:rPr>
        <w:t>Biometrika</w:t>
      </w:r>
      <w:r>
        <w:rPr>
          <w:rFonts w:ascii="Times New Roman" w:hAnsi="Times New Roman" w:eastAsia="Times New Roman" w:cs="Times New Roman"/>
          <w:color w:val="000000"/>
          <w:sz w:val="20"/>
        </w:rPr>
        <w:t>. 1934;26:404--413. https://doi.org/10.1093/biomet/26.4.404</w:t>
      </w:r>
    </w:p>
    <w:p>
      <w:pPr>
        <w:spacing w:line="240" w:lineRule="auto" w:after="80"/>
        <w:ind w:left="360" w:hanging="360"/>
      </w:pPr>
      <w:r>
        <w:rPr>
          <w:rFonts w:ascii="Times New Roman" w:hAnsi="Times New Roman" w:eastAsia="Times New Roman" w:cs="Times New Roman"/>
          <w:color w:val="000000"/>
          <w:sz w:val="20"/>
        </w:rPr>
        <w:t xml:space="preserve">21. Chow CK. On optimum recognition error and reject tradeoff. </w:t>
      </w:r>
      <w:r>
        <w:rPr>
          <w:rFonts w:ascii="Times New Roman" w:hAnsi="Times New Roman" w:eastAsia="Times New Roman" w:cs="Times New Roman"/>
          <w:i/>
          <w:color w:val="000000"/>
          <w:sz w:val="20"/>
        </w:rPr>
        <w:t>IEEE Trans Inf Theory</w:t>
      </w:r>
      <w:r>
        <w:rPr>
          <w:rFonts w:ascii="Times New Roman" w:hAnsi="Times New Roman" w:eastAsia="Times New Roman" w:cs="Times New Roman"/>
          <w:color w:val="000000"/>
          <w:sz w:val="20"/>
        </w:rPr>
        <w:t>. 1970;16:41--46. https://doi.org/10.1109/TIT.1970.1054406</w:t>
      </w:r>
    </w:p>
    <w:p>
      <w:pPr>
        <w:spacing w:line="240" w:lineRule="auto" w:after="80"/>
        <w:ind w:left="360" w:hanging="360"/>
      </w:pPr>
      <w:r>
        <w:rPr>
          <w:rFonts w:ascii="Times New Roman" w:hAnsi="Times New Roman" w:eastAsia="Times New Roman" w:cs="Times New Roman"/>
          <w:color w:val="000000"/>
          <w:sz w:val="20"/>
        </w:rPr>
        <w:t xml:space="preserve">22. Geifman Y, El-Yaniv R. Selective classification for deep neural networks. </w:t>
      </w:r>
      <w:r>
        <w:rPr>
          <w:rFonts w:ascii="Times New Roman" w:hAnsi="Times New Roman" w:eastAsia="Times New Roman" w:cs="Times New Roman"/>
          <w:i/>
          <w:color w:val="000000"/>
          <w:sz w:val="20"/>
        </w:rPr>
        <w:t>NeurIPS</w:t>
      </w:r>
      <w:r>
        <w:rPr>
          <w:rFonts w:ascii="Times New Roman" w:hAnsi="Times New Roman" w:eastAsia="Times New Roman" w:cs="Times New Roman"/>
          <w:color w:val="000000"/>
          <w:sz w:val="20"/>
        </w:rPr>
        <w:t>. 2017;30.</w:t>
      </w:r>
    </w:p>
    <w:p>
      <w:pPr>
        <w:spacing w:line="240" w:lineRule="auto" w:after="80"/>
        <w:ind w:left="360" w:hanging="360"/>
      </w:pPr>
      <w:r>
        <w:rPr>
          <w:rFonts w:ascii="Times New Roman" w:hAnsi="Times New Roman" w:eastAsia="Times New Roman" w:cs="Times New Roman"/>
          <w:color w:val="000000"/>
          <w:sz w:val="20"/>
        </w:rPr>
        <w:t xml:space="preserve">23. Hall ML, Lin W-H, Ogle BM. Optimizing extracellular matrix for endothelial differentiation using a design of experiments approach. </w:t>
      </w:r>
      <w:r>
        <w:rPr>
          <w:rFonts w:ascii="Times New Roman" w:hAnsi="Times New Roman" w:eastAsia="Times New Roman" w:cs="Times New Roman"/>
          <w:i/>
          <w:color w:val="000000"/>
          <w:sz w:val="20"/>
        </w:rPr>
        <w:t>Sci Rep</w:t>
      </w:r>
      <w:r>
        <w:rPr>
          <w:rFonts w:ascii="Times New Roman" w:hAnsi="Times New Roman" w:eastAsia="Times New Roman" w:cs="Times New Roman"/>
          <w:color w:val="000000"/>
          <w:sz w:val="20"/>
        </w:rPr>
        <w:t>. 2025;15:24479. https://doi.org/10.1038/s41598-025-09256-9</w:t>
      </w:r>
    </w:p>
    <w:sectPr w:rsidR="00FC693F" w:rsidRPr="0006063C" w:rsidSect="00034616">
      <w:footerReference w:type="default" r:id="rId9"/>
      <w:footerReference w:type="even" r:id="rId10"/>
      <w:footerReference w:type="first" r:id="rId11"/>
      <w:pgSz w:w="12240" w:h="15840"/>
      <w:pgMar w:top="1440" w:right="1440" w:bottom="2160" w:left="1440" w:header="720" w:footer="720" w:gutter="0"/>
      <w:cols w:space="720"/>
      <w:docGrid w:linePitch="360"/>
      <w:lnNumType w:countBy="1" w:start="1" w:restart="continuous" w:distan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color w:val="000000"/>
        <w:sz w:val="20"/>
      </w:rPr>
      <w:t xml:space="preserve">Page </w:t>
    </w:r>
    <w:r>
      <w:rPr>
        <w:rFonts w:ascii="Times New Roman" w:hAnsi="Times New Roman" w:eastAsia="Times New Roman" w:cs="Times New Roman"/>
        <w:color w:val="000000"/>
        <w:sz w:val="20"/>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color w:val="000000"/>
        <w:sz w:val="20"/>
      </w:rPr>
      <w:t xml:space="preserve">Page </w:t>
    </w:r>
    <w:r>
      <w:rPr>
        <w:rFonts w:ascii="Times New Roman" w:hAnsi="Times New Roman" w:eastAsia="Times New Roman" w:cs="Times New Roman"/>
        <w:color w:val="000000"/>
        <w:sz w:val="20"/>
      </w:rPr>
      <w:fldChar w:fldCharType="begin"/>
      <w:instrText xml:space="preserve">PAGE</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color w:val="000000"/>
        <w:sz w:val="20"/>
      </w:rPr>
      <w:t xml:space="preserve">Page </w:t>
    </w:r>
    <w:r>
      <w:rPr>
        <w:rFonts w:ascii="Times New Roman" w:hAnsi="Times New Roman" w:eastAsia="Times New Roman" w:cs="Times New Roman"/>
        <w:color w:val="000000"/>
        <w:sz w:val="20"/>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0" w:line="480" w:lineRule="auto"/>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40" w:lineRule="auto"/>
      <w:outlineLvl w:val="0"/>
    </w:pPr>
    <w:rPr>
      <w:rFonts w:asciiTheme="majorHAnsi" w:eastAsiaTheme="majorEastAsia" w:hAnsiTheme="majorHAnsi" w:cstheme="majorBidi" w:ascii="Times New Roman" w:hAnsi="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80" w:line="240" w:lineRule="auto"/>
      <w:outlineLvl w:val="1"/>
    </w:pPr>
    <w:rPr>
      <w:rFonts w:asciiTheme="majorHAnsi" w:eastAsiaTheme="majorEastAsia" w:hAnsiTheme="majorHAnsi" w:cstheme="majorBidi" w:ascii="Times New Roman" w:hAnsi="Times New Roman"/>
      <w:b/>
      <w:bCs/>
      <w:i/>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contextualSpacing/>
      <w:jc w:val="center"/>
    </w:pPr>
    <w:rPr>
      <w:rFonts w:asciiTheme="majorHAnsi" w:eastAsiaTheme="majorEastAsia" w:hAnsiTheme="majorHAnsi" w:cstheme="majorBidi" w:ascii="Times New Roman" w:hAnsi="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point optimization to operating-region decisions: a fixed-well evaluation of conservative Gaussian-process design for cell manufacturing</dc:title>
  <dc:subject>Fixed-well evaluation of conservative Gaussian-process design</dc:subject>
  <dc:creator>Joseph Yung; Alana Kwan</dc:creator>
  <cp:keywords>Bayesian optimization; Gaussian process; operating region; cell manufacturing</cp:keywords>
  <dc:description>Generated reproducibly from publication/manuscript/MANUSCRIPT.md</dc:description>
  <cp:lastModifiedBy/>
  <cp:revision>1</cp:revision>
  <dcterms:created xsi:type="dcterms:W3CDTF">2013-12-23T23:15:00Z</dcterms:created>
  <dcterms:modified xsi:type="dcterms:W3CDTF">2013-12-23T23:15:00Z</dcterms:modified>
  <cp:category/>
</cp:coreProperties>
</file>